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14C09CBE" w:rsidR="00D335A1" w:rsidRDefault="00D335A1" w:rsidP="00D335A1">
      <w:pPr>
        <w:pStyle w:val="CH"/>
      </w:pPr>
      <w:bookmarkStart w:id="0" w:name="historyclause"/>
      <w:r w:rsidRPr="00B070F5">
        <w:t xml:space="preserve">3GPP RAN </w:t>
      </w:r>
      <w:r w:rsidR="00210370">
        <w:t>WG4</w:t>
      </w:r>
      <w:r w:rsidRPr="00B070F5">
        <w:t xml:space="preserve"> Meeting #</w:t>
      </w:r>
      <w:r w:rsidR="00210370">
        <w:t>94</w:t>
      </w:r>
      <w:r w:rsidR="00170372">
        <w:t>bis</w:t>
      </w:r>
      <w:r w:rsidR="00463DF8">
        <w:t>-e</w:t>
      </w:r>
      <w:r>
        <w:tab/>
      </w:r>
      <w:r>
        <w:tab/>
      </w:r>
      <w:r w:rsidR="006C2CC9" w:rsidRPr="006C2CC9">
        <w:t>R4-2004687</w:t>
      </w:r>
    </w:p>
    <w:p w14:paraId="606A873D" w14:textId="199827D1" w:rsidR="00D335A1" w:rsidRPr="00FD166F" w:rsidRDefault="00463DF8" w:rsidP="00D335A1">
      <w:pPr>
        <w:pStyle w:val="CH"/>
        <w:tabs>
          <w:tab w:val="clear" w:pos="7920"/>
        </w:tabs>
        <w:rPr>
          <w:b w:val="0"/>
        </w:rPr>
      </w:pPr>
      <w:r w:rsidRPr="00463DF8">
        <w:t xml:space="preserve">Electronic meeting, </w:t>
      </w:r>
      <w:r w:rsidR="00EF66C4">
        <w:t>2</w:t>
      </w:r>
      <w:r w:rsidR="005F234D">
        <w:t>0</w:t>
      </w:r>
      <w:r w:rsidR="006369DE">
        <w:t xml:space="preserve"> – 30th </w:t>
      </w:r>
      <w:r w:rsidR="00EF66C4">
        <w:t>April</w:t>
      </w:r>
      <w:r w:rsidRPr="00463DF8">
        <w:t xml:space="preserve"> 2020</w:t>
      </w:r>
      <w:r w:rsidR="00D335A1">
        <w:tab/>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6B29D1D1" w:rsidR="00D335A1" w:rsidRPr="00B63C83" w:rsidRDefault="00D335A1" w:rsidP="0043034B">
      <w:pPr>
        <w:pStyle w:val="CH"/>
        <w:ind w:left="2268" w:hanging="2268"/>
        <w:rPr>
          <w:b w:val="0"/>
        </w:rPr>
      </w:pPr>
      <w:r w:rsidRPr="00B63C83">
        <w:t>Source:</w:t>
      </w:r>
      <w:r w:rsidRPr="00B63C83">
        <w:tab/>
        <w:t>Apple Inc</w:t>
      </w:r>
      <w:r w:rsidR="00607958">
        <w:t>, Comcast</w:t>
      </w:r>
    </w:p>
    <w:p w14:paraId="24642CB2" w14:textId="790A9D91"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246404">
        <w:rPr>
          <w:lang w:val="en-US"/>
        </w:rPr>
        <w:t xml:space="preserve"> (UL shift)</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5F66560"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B37015">
        <w:t>raster</w:t>
      </w:r>
      <w:r w:rsidR="000119B4">
        <w:t xml:space="preserve"> are aligned</w:t>
      </w:r>
      <w:r w:rsidR="00210370">
        <w:t xml:space="preserve"> and 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225E2CA0" w14:textId="71A7CAA7" w:rsidR="00246404"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140C25">
        <w:t>During the RAN4#94 meeting, a number of companies expressed their view on the required modifications</w:t>
      </w:r>
      <w:r w:rsidR="00303F93">
        <w:t xml:space="preserve"> </w:t>
      </w:r>
      <w:r w:rsidR="00303F93">
        <w:fldChar w:fldCharType="begin"/>
      </w:r>
      <w:r w:rsidR="00303F93">
        <w:instrText xml:space="preserve"> REF _Ref37344793 \r \h </w:instrText>
      </w:r>
      <w:r w:rsidR="00303F93">
        <w:fldChar w:fldCharType="separate"/>
      </w:r>
      <w:r w:rsidR="00303F93">
        <w:t>[5]</w:t>
      </w:r>
      <w:r w:rsidR="00303F93">
        <w:fldChar w:fldCharType="end"/>
      </w:r>
      <w:r w:rsidR="00303F93">
        <w:t>-</w:t>
      </w:r>
      <w:r w:rsidR="00303F93">
        <w:fldChar w:fldCharType="begin"/>
      </w:r>
      <w:r w:rsidR="00303F93">
        <w:instrText xml:space="preserve"> REF _Ref37344801 \r \h </w:instrText>
      </w:r>
      <w:r w:rsidR="00303F93">
        <w:fldChar w:fldCharType="separate"/>
      </w:r>
      <w:r w:rsidR="00303F93">
        <w:t>[9]</w:t>
      </w:r>
      <w:r w:rsidR="00303F93">
        <w:fldChar w:fldCharType="end"/>
      </w:r>
      <w:r w:rsidR="00140C25">
        <w:t xml:space="preserve">, but no consensus was reached. </w:t>
      </w:r>
      <w:r w:rsidR="00246404">
        <w:t>In particular, most of the companies expressed the view that UL shift is not necessary, at least for 30kHz SCS.</w:t>
      </w:r>
    </w:p>
    <w:p w14:paraId="391572FD" w14:textId="5E0F65A5" w:rsidR="008E7986" w:rsidRDefault="000119B4" w:rsidP="008E7986">
      <w:r>
        <w:t xml:space="preserve">In this discussion paper we elaborate further on </w:t>
      </w:r>
      <w:r w:rsidR="00210370">
        <w:t xml:space="preserve">the </w:t>
      </w:r>
      <w:r w:rsidR="00246404">
        <w:t>UL shift for band the DSS feature in 48/n48 and its need for various network deployments</w:t>
      </w:r>
      <w:r w:rsidR="00210370">
        <w:t xml:space="preserve">. </w:t>
      </w:r>
    </w:p>
    <w:p w14:paraId="06E92CC7" w14:textId="77777777" w:rsidR="008E7986" w:rsidRDefault="008E7986" w:rsidP="008E7986"/>
    <w:p w14:paraId="13DE93C1" w14:textId="3658DE86" w:rsidR="00B338B3" w:rsidRDefault="008E7986" w:rsidP="00CF05A2">
      <w:pPr>
        <w:pStyle w:val="Heading1"/>
      </w:pPr>
      <w:r>
        <w:t>2</w:t>
      </w:r>
      <w:r>
        <w:tab/>
      </w:r>
      <w:r w:rsidR="00CF05A2">
        <w:t xml:space="preserve">UL shift for </w:t>
      </w:r>
      <w:r w:rsidR="002805F6">
        <w:t xml:space="preserve">LTE/NR </w:t>
      </w:r>
      <w:r w:rsidR="00165C02">
        <w:t xml:space="preserve">spectrum </w:t>
      </w:r>
      <w:r w:rsidR="002805F6">
        <w:t>sharing in band 48/n48</w:t>
      </w:r>
      <w:r>
        <w:t xml:space="preserve"> </w:t>
      </w:r>
      <w:bookmarkStart w:id="1" w:name="_Toc13821307"/>
      <w:bookmarkStart w:id="2" w:name="_Toc13823307"/>
    </w:p>
    <w:p w14:paraId="7F17B4D5" w14:textId="60B25B3A" w:rsidR="002239F3" w:rsidRDefault="007E38BA" w:rsidP="00B15B8A">
      <w:r>
        <w:t>One</w:t>
      </w:r>
      <w:r w:rsidR="00B15B8A">
        <w:t xml:space="preserve"> of the prerequisites for dynamic spectrum sharing between the LTE and NR carriers is the system ability to align sub-carrier grids of the LTE and NR systems. To align UL sub-carrier grids, an additional higher layer parameter was added to the system information to indicate UL channel raster shift.</w:t>
      </w:r>
      <w:r w:rsidR="002239F3">
        <w:t xml:space="preserve"> As can be seen from Figure 2-1, having a common and aligned sub-carrier grid, the base station can decide flexibl</w:t>
      </w:r>
      <w:r>
        <w:t>y</w:t>
      </w:r>
      <w:r w:rsidR="002239F3">
        <w:t xml:space="preserve"> how many RBs should be allocated for LTE or NR UEs. And if both LTE and NR use 15kHz SCS, then no inter-numerology guard-band is needed.</w:t>
      </w:r>
    </w:p>
    <w:p w14:paraId="721BD389" w14:textId="3AEDD7D7" w:rsidR="00E47973" w:rsidRDefault="002239F3" w:rsidP="00B15B8A">
      <w:r>
        <w:rPr>
          <w:noProof/>
        </w:rPr>
        <w:drawing>
          <wp:inline distT="0" distB="0" distL="0" distR="0" wp14:anchorId="517E38DB" wp14:editId="709CFC90">
            <wp:extent cx="6122035"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nvas 1.eps"/>
                    <pic:cNvPicPr/>
                  </pic:nvPicPr>
                  <pic:blipFill>
                    <a:blip r:embed="rId9">
                      <a:extLst>
                        <a:ext uri="{28A0092B-C50C-407E-A947-70E740481C1C}">
                          <a14:useLocalDpi xmlns:a14="http://schemas.microsoft.com/office/drawing/2010/main" val="0"/>
                        </a:ext>
                      </a:extLst>
                    </a:blip>
                    <a:stretch>
                      <a:fillRect/>
                    </a:stretch>
                  </pic:blipFill>
                  <pic:spPr>
                    <a:xfrm>
                      <a:off x="0" y="0"/>
                      <a:ext cx="6122035" cy="840740"/>
                    </a:xfrm>
                    <a:prstGeom prst="rect">
                      <a:avLst/>
                    </a:prstGeom>
                  </pic:spPr>
                </pic:pic>
              </a:graphicData>
            </a:graphic>
          </wp:inline>
        </w:drawing>
      </w:r>
      <w:r w:rsidR="00B15B8A">
        <w:t xml:space="preserve"> </w:t>
      </w:r>
    </w:p>
    <w:p w14:paraId="6E2CD751" w14:textId="4408F920" w:rsidR="002239F3" w:rsidRDefault="002239F3" w:rsidP="002239F3">
      <w:pPr>
        <w:pStyle w:val="TF"/>
      </w:pPr>
      <w:r>
        <w:t>Figure 2-1: Exemplary sub-carrier grid with 15kHz LTE and 15kHz NR RBs.</w:t>
      </w:r>
    </w:p>
    <w:p w14:paraId="1443ED6E" w14:textId="519221F0" w:rsidR="00B15B8A" w:rsidRDefault="00B15B8A" w:rsidP="00B15B8A">
      <w:r>
        <w:t>However, as follows from TR 38.822 and TS 38.101-1 (see also Annex A), this parameter is mandatory only for the FDD and SUL bands. In other words, a UE camped on the TDD bands is not anticipated to act on the corresponding parameter if it is signalled by the network. The problem was firstly identified for bands 41/n41 for LTE/NR spectrum sharing WI [1], and RAN WG4 agreed to introduce a new band [2] to circumvent around the fact that channel raster shift is not a mandatory parameter for the NR TDD bands and to introduce new channel raster values. Referring to Table 5.2-1 from TS 38.101-1 (highlighted in yellow for the sake of clarity), band n90 was introduced which is effectively the same band as n41, but the network deploying LTE and NR on the same carrier will use band n90 to prevent legacy terminals from camping on that carrier. In turn, a UE supporting band n90 has to support UL channel raster shift parameter.</w:t>
      </w:r>
    </w:p>
    <w:p w14:paraId="00C9FFA0" w14:textId="4ED66939" w:rsidR="00EA43A3" w:rsidRDefault="00EE1EEF" w:rsidP="00B15B8A">
      <w:r>
        <w:lastRenderedPageBreak/>
        <w:t>Referring to the agreements from the CBRS Alliance, 30kHz SCS is the mandatory supported configuration. In other words, dynamic spectrum sharing for the LTE and NR carriers should deal with the mixed numerology case. According to RAN WG4 specifications, there are no particular requirements for the mixed-numerology deployments, and as Figure 2-2 presents, a particular network implementation may follow different strategies. If the network uses the common sub-carrier grid spanning over LTE and NR allocations, then it would be quite easy to ensure that inter-numerology guard band is either 15kHz or 30kHz SCS RB, or even zero RBs. The latter case is also feasible because even though 15kHz and 30kHz numerologies are not orthogonal, it will just cause additional emission to the neighbouring RB. And since the scheduling is done by the base station, the latter will be aware of it.</w:t>
      </w:r>
      <w:r w:rsidR="00EA43A3">
        <w:t xml:space="preserve"> As an example, if LTE and NR transmissions do not take 100% of </w:t>
      </w:r>
      <w:r w:rsidR="00B37015">
        <w:t xml:space="preserve">UL </w:t>
      </w:r>
      <w:r w:rsidR="00EA43A3">
        <w:t>resources, then it is quite natural to make an inter-numerology guard-band as it comes for free. For the 100% load scenario, it can be up to the network implementation and scheduling whether to schedule all RBs catering for better spectrum utilization (e.g. best effort service) or avoid unnecessary emissions to the neighbouring RB.</w:t>
      </w:r>
      <w:r w:rsidR="005F067D">
        <w:t xml:space="preserve"> </w:t>
      </w:r>
    </w:p>
    <w:p w14:paraId="128F9696" w14:textId="77777777" w:rsidR="00A0244E" w:rsidRDefault="00A0244E" w:rsidP="00B15B8A"/>
    <w:p w14:paraId="07765635" w14:textId="77777777" w:rsidR="002F2C78" w:rsidRDefault="002F2C78" w:rsidP="00B15B8A"/>
    <w:p w14:paraId="464077C5" w14:textId="72DF1D61" w:rsidR="00EA43A3" w:rsidRDefault="00EA43A3" w:rsidP="00B15B8A">
      <w:r>
        <w:rPr>
          <w:noProof/>
        </w:rPr>
        <w:drawing>
          <wp:inline distT="0" distB="0" distL="0" distR="0" wp14:anchorId="624C69A5" wp14:editId="76DA3B63">
            <wp:extent cx="6122035" cy="822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nvas 3.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4ABA947B" w14:textId="77777777" w:rsidR="00EA43A3" w:rsidRDefault="00EA43A3" w:rsidP="00B15B8A"/>
    <w:p w14:paraId="15116190" w14:textId="77777777" w:rsidR="00EA43A3" w:rsidRDefault="00EA43A3" w:rsidP="00B15B8A">
      <w:r>
        <w:rPr>
          <w:noProof/>
        </w:rPr>
        <w:drawing>
          <wp:inline distT="0" distB="0" distL="0" distR="0" wp14:anchorId="7D982DE9" wp14:editId="0665FC34">
            <wp:extent cx="6122035" cy="8229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nvas 4.eps"/>
                    <pic:cNvPicPr/>
                  </pic:nvPicPr>
                  <pic:blipFill>
                    <a:blip r:embed="rId11">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0FCC5814" w14:textId="74770540" w:rsidR="00EA43A3" w:rsidRDefault="00EE1EEF" w:rsidP="00B15B8A">
      <w:r>
        <w:t xml:space="preserve">   </w:t>
      </w:r>
    </w:p>
    <w:p w14:paraId="12AD16FE" w14:textId="07F61EAD" w:rsidR="00EA43A3" w:rsidRDefault="00EA43A3" w:rsidP="00B15B8A">
      <w:r>
        <w:rPr>
          <w:noProof/>
        </w:rPr>
        <w:drawing>
          <wp:inline distT="0" distB="0" distL="0" distR="0" wp14:anchorId="08039264" wp14:editId="7D47CFF0">
            <wp:extent cx="6122035" cy="861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nvas 2.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1695"/>
                    </a:xfrm>
                    <a:prstGeom prst="rect">
                      <a:avLst/>
                    </a:prstGeom>
                  </pic:spPr>
                </pic:pic>
              </a:graphicData>
            </a:graphic>
          </wp:inline>
        </w:drawing>
      </w:r>
    </w:p>
    <w:p w14:paraId="339F29CD" w14:textId="7280C477" w:rsidR="00EA43A3" w:rsidRDefault="00EA43A3" w:rsidP="00EA43A3">
      <w:pPr>
        <w:pStyle w:val="TF"/>
      </w:pPr>
      <w:r>
        <w:t>Figure 2-2: Exemplary sub-carrier grid for 15kHz LTE and 30kHz NR RBs.</w:t>
      </w:r>
    </w:p>
    <w:p w14:paraId="0DF8363A" w14:textId="77777777" w:rsidR="00EA43A3" w:rsidRDefault="00EA43A3" w:rsidP="00B15B8A"/>
    <w:p w14:paraId="3784C6A6" w14:textId="67C53FE7" w:rsidR="007E38BA" w:rsidRDefault="007E38BA" w:rsidP="00B15B8A">
      <w:r>
        <w:t>Thus, enabling UL shift on band n48 will allow sub-carrier grid alignment which in turn can be used by the network for better resource utilization. And even though it can be viewed as a marginal optimization for a large carrier size, it will be a more noticeable improvement for 5 or 10MHz carriers which can be allocated by the SAS entity, especially accounting for the fact that 30kHz SCS RB will provide worse spectrum utilization than 15kHz SCS.</w:t>
      </w:r>
    </w:p>
    <w:p w14:paraId="15316E3E" w14:textId="77777777" w:rsidR="00D333C0" w:rsidRDefault="00D333C0" w:rsidP="00B15B8A"/>
    <w:p w14:paraId="25379D8C" w14:textId="5ECC069D" w:rsidR="009E2C2E" w:rsidRDefault="009E2C2E" w:rsidP="00D333C0">
      <w:pPr>
        <w:pStyle w:val="Observation"/>
      </w:pPr>
      <w:r>
        <w:t>Observation 1:</w:t>
      </w:r>
      <w:r>
        <w:tab/>
        <w:t>UL shift is needed for 15kHz SCS deployments to align sub-carrier grids achieving better resource utilization.</w:t>
      </w:r>
    </w:p>
    <w:p w14:paraId="54268C7A" w14:textId="3031BA17" w:rsidR="009E2C2E" w:rsidRDefault="009E2C2E" w:rsidP="00D333C0">
      <w:pPr>
        <w:pStyle w:val="Observation"/>
      </w:pPr>
      <w:r>
        <w:t>Observation 2:</w:t>
      </w:r>
      <w:r>
        <w:tab/>
        <w:t>UL shift is not an essential feature for 30kHz SCS if some inter-numerology guard band is required.</w:t>
      </w:r>
    </w:p>
    <w:p w14:paraId="7EBCD26D" w14:textId="3019C5C7" w:rsidR="009E2C2E" w:rsidRDefault="009E2C2E" w:rsidP="00D333C0">
      <w:pPr>
        <w:pStyle w:val="Observation"/>
      </w:pPr>
      <w:r>
        <w:t>Observation 3:</w:t>
      </w:r>
      <w:r>
        <w:tab/>
      </w:r>
      <w:r w:rsidR="00D333C0">
        <w:t>Due to the dynamic nature of allocated spectrum on band n48, the SAS entity may allocate a small channel, e.g. as small as 5MHz.</w:t>
      </w:r>
    </w:p>
    <w:p w14:paraId="69D794C4" w14:textId="77777777" w:rsidR="00D333C0" w:rsidRDefault="00D333C0" w:rsidP="00B15B8A"/>
    <w:p w14:paraId="6DBE3104" w14:textId="77777777" w:rsidR="00D333C0" w:rsidRDefault="00D333C0" w:rsidP="00B15B8A"/>
    <w:p w14:paraId="173FAD81" w14:textId="77777777" w:rsidR="00D333C0" w:rsidRDefault="00D333C0" w:rsidP="00B15B8A"/>
    <w:p w14:paraId="04AA203C" w14:textId="346B6648" w:rsidR="00CF05A2" w:rsidRDefault="007B7482" w:rsidP="00B15B8A">
      <w:r>
        <w:lastRenderedPageBreak/>
        <w:t>As a summary</w:t>
      </w:r>
      <w:r w:rsidR="00CF05A2">
        <w:t xml:space="preserve"> of our observations</w:t>
      </w:r>
      <w:r w:rsidR="002C3EB0">
        <w:t xml:space="preserve">, </w:t>
      </w:r>
      <w:r>
        <w:t xml:space="preserve">our view is that </w:t>
      </w:r>
      <w:r w:rsidR="002C3EB0">
        <w:t>it is possible</w:t>
      </w:r>
      <w:r w:rsidR="00B15B8A">
        <w:t xml:space="preserve"> to </w:t>
      </w:r>
      <w:r w:rsidR="00CF05A2">
        <w:t>adopt the following approach:</w:t>
      </w:r>
    </w:p>
    <w:p w14:paraId="550B36AC" w14:textId="0F322208" w:rsidR="002E35C4" w:rsidRDefault="00A54165" w:rsidP="00A54165">
      <w:pPr>
        <w:pStyle w:val="B1"/>
      </w:pPr>
      <w:r>
        <w:t>-</w:t>
      </w:r>
      <w:r>
        <w:tab/>
        <w:t>For 30kHz SCS, UL shift is not a mandatory feature, i.e. the network is not anticipated to signal it and</w:t>
      </w:r>
      <w:r w:rsidR="004F548D">
        <w:t xml:space="preserve"> </w:t>
      </w:r>
      <w:r>
        <w:t xml:space="preserve">the UE will not act on it. This approach is in line with the understanding of the majority of companies that if some inter-numerology guard band </w:t>
      </w:r>
      <w:r w:rsidR="009E2C2E">
        <w:t>is</w:t>
      </w:r>
      <w:r>
        <w:t xml:space="preserve"> any</w:t>
      </w:r>
      <w:r w:rsidR="009E2C2E">
        <w:t>way</w:t>
      </w:r>
      <w:r>
        <w:t xml:space="preserve"> </w:t>
      </w:r>
      <w:r w:rsidR="009E2C2E">
        <w:t>required</w:t>
      </w:r>
      <w:r>
        <w:t xml:space="preserve">, </w:t>
      </w:r>
      <w:r w:rsidR="009E2C2E">
        <w:t>then</w:t>
      </w:r>
      <w:r>
        <w:t xml:space="preserve"> there is no strong need to align sub-carrier grids. Furthermore, if CBRS deployments use 30kHz SCS and UE support only 30kHz SCS for band n46, then UL shift will not be supported/needed at the UE side.</w:t>
      </w:r>
    </w:p>
    <w:p w14:paraId="77FF665C" w14:textId="3C49EB15" w:rsidR="00A54165" w:rsidRDefault="00A54165" w:rsidP="00A54165">
      <w:pPr>
        <w:pStyle w:val="B1"/>
      </w:pPr>
      <w:r>
        <w:t>-</w:t>
      </w:r>
      <w:r>
        <w:tab/>
        <w:t>For 15kHz SCS, UL shift is a mandatory feature. Following the same considerations as for other FDD band</w:t>
      </w:r>
      <w:r w:rsidR="009E2C2E">
        <w:t>s</w:t>
      </w:r>
      <w:r>
        <w:t xml:space="preserve"> and TDD band 41/n41, enabling UL shift will help DSS deployments for narrow channels that can be allocated by </w:t>
      </w:r>
      <w:r w:rsidR="00F74507">
        <w:t xml:space="preserve">the </w:t>
      </w:r>
      <w:r>
        <w:t>SAS</w:t>
      </w:r>
      <w:r w:rsidR="009E2C2E">
        <w:t xml:space="preserve"> </w:t>
      </w:r>
      <w:r w:rsidR="00F74507">
        <w:t xml:space="preserve">entity </w:t>
      </w:r>
      <w:r w:rsidR="009E2C2E">
        <w:t>and for which an operator will apply 15kHz SCS</w:t>
      </w:r>
      <w:r>
        <w:t xml:space="preserve">. </w:t>
      </w:r>
    </w:p>
    <w:p w14:paraId="7ACC5819" w14:textId="0698B41F" w:rsidR="006C2CC9" w:rsidRDefault="006C2CC9" w:rsidP="00A54165">
      <w:pPr>
        <w:pStyle w:val="B1"/>
      </w:pPr>
      <w:r>
        <w:t>-</w:t>
      </w:r>
      <w:r>
        <w:tab/>
        <w:t>UEs supporting only 30kHz SCS will not camp on the band n48 cells that operate with 15kHz SCS and thus there will be no issue that they do not support UL shift.</w:t>
      </w:r>
      <w:bookmarkStart w:id="3" w:name="_GoBack"/>
      <w:bookmarkEnd w:id="3"/>
    </w:p>
    <w:p w14:paraId="73363092" w14:textId="77777777" w:rsidR="00F74507" w:rsidRDefault="00F74507" w:rsidP="00F74507"/>
    <w:p w14:paraId="6D51F15A" w14:textId="01847226" w:rsidR="005F067D" w:rsidRDefault="005F067D" w:rsidP="005F067D">
      <w:pPr>
        <w:pStyle w:val="Proposal"/>
      </w:pPr>
      <w:bookmarkStart w:id="4" w:name="_Toc31969678"/>
      <w:bookmarkStart w:id="5" w:name="_Toc31969700"/>
      <w:bookmarkStart w:id="6" w:name="_Toc31969721"/>
      <w:bookmarkStart w:id="7" w:name="_Toc32333247"/>
      <w:bookmarkStart w:id="8" w:name="_Toc32333372"/>
      <w:bookmarkStart w:id="9" w:name="_Toc32337293"/>
      <w:bookmarkStart w:id="10" w:name="_Toc32409470"/>
      <w:bookmarkStart w:id="11" w:name="_Toc32584692"/>
      <w:bookmarkStart w:id="12" w:name="_Toc37350203"/>
      <w:bookmarkStart w:id="13" w:name="_Toc37428960"/>
      <w:bookmarkStart w:id="14" w:name="_Toc37431002"/>
      <w:bookmarkStart w:id="15" w:name="_Toc37432113"/>
      <w:bookmarkStart w:id="16" w:name="_Toc37432172"/>
      <w:r w:rsidRPr="007F52C6">
        <w:t xml:space="preserve">Proposal </w:t>
      </w:r>
      <w:r w:rsidR="00CF05A2">
        <w:t>1</w:t>
      </w:r>
      <w:r w:rsidRPr="007F52C6">
        <w:t>:</w:t>
      </w:r>
      <w:r w:rsidR="00B37015" w:rsidRPr="007F52C6">
        <w:tab/>
      </w:r>
      <w:r w:rsidR="00A54165">
        <w:t xml:space="preserve">Introduce </w:t>
      </w:r>
      <w:r w:rsidR="00CF05A2">
        <w:t xml:space="preserve">UL shift is a mandatory UE </w:t>
      </w:r>
      <w:r w:rsidR="00A54165">
        <w:t>feature</w:t>
      </w:r>
      <w:r w:rsidR="00CF05A2">
        <w:t xml:space="preserve"> only for 15kHz SCS</w:t>
      </w:r>
      <w:r w:rsidR="00D333C0">
        <w:t xml:space="preserve"> </w:t>
      </w:r>
      <w:r w:rsidR="001F7D21">
        <w:t>(</w:t>
      </w:r>
      <w:r w:rsidR="00D333C0">
        <w:t>on band n48</w:t>
      </w:r>
      <w:r w:rsidR="001F7D21">
        <w:t>)</w:t>
      </w:r>
      <w:r w:rsidRPr="007F52C6">
        <w:t>.</w:t>
      </w:r>
      <w:bookmarkEnd w:id="4"/>
      <w:bookmarkEnd w:id="5"/>
      <w:bookmarkEnd w:id="6"/>
      <w:bookmarkEnd w:id="7"/>
      <w:bookmarkEnd w:id="8"/>
      <w:bookmarkEnd w:id="9"/>
      <w:bookmarkEnd w:id="10"/>
      <w:bookmarkEnd w:id="11"/>
      <w:bookmarkEnd w:id="12"/>
      <w:bookmarkEnd w:id="13"/>
      <w:bookmarkEnd w:id="14"/>
      <w:bookmarkEnd w:id="15"/>
      <w:bookmarkEnd w:id="16"/>
    </w:p>
    <w:p w14:paraId="511BBD72" w14:textId="13FB8FEF" w:rsidR="00393D5B" w:rsidRDefault="00393D5B" w:rsidP="00393D5B"/>
    <w:p w14:paraId="34CD75F4" w14:textId="77777777" w:rsidR="00393D5B" w:rsidRDefault="00393D5B" w:rsidP="00393D5B"/>
    <w:bookmarkEnd w:id="1"/>
    <w:bookmarkEnd w:id="2"/>
    <w:p w14:paraId="34C99636" w14:textId="77777777" w:rsidR="008E7986" w:rsidRDefault="008E7986" w:rsidP="008E7986">
      <w:pPr>
        <w:pStyle w:val="Heading1"/>
      </w:pPr>
      <w:r>
        <w:t>3</w:t>
      </w:r>
      <w:r>
        <w:tab/>
        <w:t>Conclusions</w:t>
      </w:r>
    </w:p>
    <w:p w14:paraId="6F3027FC" w14:textId="777F9D24" w:rsidR="00BA300B" w:rsidRDefault="007771CF" w:rsidP="006F6DB8">
      <w:r>
        <w:t xml:space="preserve">In this discussion paper we have presented our further views on the </w:t>
      </w:r>
      <w:r w:rsidR="008E779F">
        <w:t>need of the UL shift parameter for dynamic spectrum sharing in band 48/n48</w:t>
      </w:r>
      <w:r>
        <w:t>. As a summary of our paper, our proposals are:</w:t>
      </w:r>
    </w:p>
    <w:p w14:paraId="253C5C8A" w14:textId="77777777" w:rsidR="001F7D21"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1F7D21">
        <w:rPr>
          <w:noProof/>
        </w:rPr>
        <w:t>Proposal 1:</w:t>
      </w:r>
      <w:r w:rsidR="001F7D21">
        <w:rPr>
          <w:rFonts w:asciiTheme="minorHAnsi" w:eastAsiaTheme="minorEastAsia" w:hAnsiTheme="minorHAnsi" w:cstheme="minorBidi"/>
          <w:b w:val="0"/>
          <w:bCs w:val="0"/>
          <w:noProof/>
          <w:sz w:val="24"/>
          <w:szCs w:val="24"/>
          <w:lang w:val="de-DE" w:eastAsia="en-GB"/>
        </w:rPr>
        <w:tab/>
      </w:r>
      <w:r w:rsidR="001F7D21">
        <w:rPr>
          <w:noProof/>
        </w:rPr>
        <w:t>Introduce UL shift is a mandatory UE feature only for 15kHz SCS (on band n48).</w:t>
      </w:r>
    </w:p>
    <w:p w14:paraId="769CC3B8" w14:textId="17B6E6B6" w:rsidR="0062595A" w:rsidRDefault="0062595A" w:rsidP="00193345">
      <w:r>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17" w:name="_Ref29900504"/>
      <w:bookmarkStart w:id="18" w:name="_Ref13820109"/>
      <w:r w:rsidRPr="00887FBB">
        <w:t xml:space="preserve">RP-182883, </w:t>
      </w:r>
      <w:r>
        <w:t>"</w:t>
      </w:r>
      <w:r w:rsidRPr="00887FBB">
        <w:t>New WI proposal: LTE/NR spectrum sharing in Band 41/n41</w:t>
      </w:r>
      <w:r>
        <w:t>"</w:t>
      </w:r>
      <w:r w:rsidRPr="00887FBB">
        <w:t>, KDDI Corporation</w:t>
      </w:r>
      <w:bookmarkEnd w:id="17"/>
    </w:p>
    <w:p w14:paraId="4F065A1E" w14:textId="13705C0B" w:rsidR="00547A7B" w:rsidRDefault="00C259D9" w:rsidP="00276EE4">
      <w:pPr>
        <w:pStyle w:val="EX"/>
      </w:pPr>
      <w:bookmarkStart w:id="19" w:name="_Ref29900516"/>
      <w:bookmarkEnd w:id="18"/>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19"/>
    </w:p>
    <w:p w14:paraId="4AC876D1" w14:textId="729E6F66" w:rsidR="00D5685E" w:rsidRDefault="00D5685E" w:rsidP="00276EE4">
      <w:pPr>
        <w:pStyle w:val="EX"/>
      </w:pPr>
      <w:bookmarkStart w:id="20" w:name="_Ref29903718"/>
      <w:r w:rsidRPr="00D5685E">
        <w:t>R4-1913331</w:t>
      </w:r>
      <w:r>
        <w:t>, "</w:t>
      </w:r>
      <w:r w:rsidRPr="00D5685E">
        <w:t>Further discussion on DSS in LTE re</w:t>
      </w:r>
      <w:r>
        <w:t>-</w:t>
      </w:r>
      <w:r w:rsidRPr="00D5685E">
        <w:t>farming bands</w:t>
      </w:r>
      <w:r>
        <w:t>", Samsung</w:t>
      </w:r>
      <w:bookmarkEnd w:id="20"/>
    </w:p>
    <w:p w14:paraId="08C5B690" w14:textId="0DF75652" w:rsidR="002675F0" w:rsidRDefault="00D5685E" w:rsidP="002675F0">
      <w:pPr>
        <w:pStyle w:val="EX"/>
      </w:pPr>
      <w:bookmarkStart w:id="21" w:name="_Ref29903720"/>
      <w:r w:rsidRPr="00D5685E">
        <w:t>R4-1915312</w:t>
      </w:r>
      <w:r>
        <w:t>, "</w:t>
      </w:r>
      <w:r w:rsidRPr="00D5685E">
        <w:t>Views on dynamic spectrum sharing between LTE band 48 and NR band n48</w:t>
      </w:r>
      <w:r>
        <w:t>", Google Inc.</w:t>
      </w:r>
      <w:bookmarkEnd w:id="21"/>
    </w:p>
    <w:p w14:paraId="64B7345F" w14:textId="5474CAA7" w:rsidR="00323657" w:rsidRDefault="00323657" w:rsidP="002675F0">
      <w:pPr>
        <w:pStyle w:val="EX"/>
      </w:pPr>
      <w:bookmarkStart w:id="22" w:name="_Ref37344793"/>
      <w:r w:rsidRPr="00323657">
        <w:t>R4-2000086</w:t>
      </w:r>
      <w:r>
        <w:t>, "</w:t>
      </w:r>
      <w:r w:rsidRPr="00323657">
        <w:t>LTE/NR spectrum sharing in band 48/n48 frequency range</w:t>
      </w:r>
      <w:r>
        <w:t>", Apple Inc.</w:t>
      </w:r>
      <w:bookmarkEnd w:id="22"/>
    </w:p>
    <w:p w14:paraId="1F8F44D5" w14:textId="2FDEC61A" w:rsidR="00323657" w:rsidRDefault="00323657" w:rsidP="002675F0">
      <w:pPr>
        <w:pStyle w:val="EX"/>
      </w:pPr>
      <w:r w:rsidRPr="00323657">
        <w:t>R4-2000273</w:t>
      </w:r>
      <w:r>
        <w:t>, "</w:t>
      </w:r>
      <w:r w:rsidRPr="00323657">
        <w:t>DSS in LTE/NR band 48/n48</w:t>
      </w:r>
      <w:r>
        <w:t>", Samsung</w:t>
      </w:r>
    </w:p>
    <w:p w14:paraId="1062A951" w14:textId="47A1675E" w:rsidR="00323657" w:rsidRDefault="00323657" w:rsidP="002675F0">
      <w:pPr>
        <w:pStyle w:val="EX"/>
      </w:pPr>
      <w:r w:rsidRPr="00323657">
        <w:t>R4-2001043</w:t>
      </w:r>
      <w:r>
        <w:t>, "</w:t>
      </w:r>
      <w:r w:rsidRPr="00323657">
        <w:t>Views on band 48/n48 spectrum sharing</w:t>
      </w:r>
      <w:r>
        <w:t>", Nokia, Nokia Shanghai Bell</w:t>
      </w:r>
    </w:p>
    <w:p w14:paraId="16075871" w14:textId="0BB6ED3C" w:rsidR="00323657" w:rsidRDefault="00323657" w:rsidP="002675F0">
      <w:pPr>
        <w:pStyle w:val="EX"/>
      </w:pPr>
      <w:bookmarkStart w:id="23" w:name="_Ref37344934"/>
      <w:r w:rsidRPr="00323657">
        <w:t>R4-2001386</w:t>
      </w:r>
      <w:r>
        <w:t>, "</w:t>
      </w:r>
      <w:r w:rsidRPr="00323657">
        <w:t>LTE/NR spectrum sharing in band 48/n48</w:t>
      </w:r>
      <w:r>
        <w:t>", Ericsson</w:t>
      </w:r>
      <w:bookmarkEnd w:id="23"/>
    </w:p>
    <w:p w14:paraId="03B7D91D" w14:textId="3D54BAEE" w:rsidR="00323657" w:rsidRDefault="00323657" w:rsidP="002675F0">
      <w:pPr>
        <w:pStyle w:val="EX"/>
      </w:pPr>
      <w:bookmarkStart w:id="24" w:name="_Ref37344801"/>
      <w:r w:rsidRPr="00323657">
        <w:t>R4-2002048</w:t>
      </w:r>
      <w:r>
        <w:t>, "</w:t>
      </w:r>
      <w:r w:rsidRPr="00323657">
        <w:t>Views on dynamic spectrum sharing between LTE band 48 and NR band n48</w:t>
      </w:r>
      <w:r>
        <w:t>", Google Inc.</w:t>
      </w:r>
      <w:bookmarkEnd w:id="24"/>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02973E41" w:rsidR="00B15B8A" w:rsidRDefault="00B15B8A">
      <w:pPr>
        <w:spacing w:after="0"/>
      </w:pPr>
      <w:r>
        <w:br w:type="page"/>
      </w:r>
    </w:p>
    <w:p w14:paraId="0EBFD9CB" w14:textId="107DBC21" w:rsidR="00B15B8A" w:rsidRDefault="00B15B8A" w:rsidP="00B15B8A">
      <w:pPr>
        <w:pStyle w:val="Heading8"/>
      </w:pPr>
      <w:r w:rsidRPr="004D3578">
        <w:lastRenderedPageBreak/>
        <w:t xml:space="preserve">Annex </w:t>
      </w:r>
      <w:r>
        <w:t>C</w:t>
      </w:r>
      <w:r w:rsidRPr="004D3578">
        <w:t xml:space="preserve"> (</w:t>
      </w:r>
      <w:r>
        <w:t>excerpt from TS 38.101-1</w:t>
      </w:r>
      <w:r w:rsidRPr="004D3578">
        <w:t>):</w:t>
      </w:r>
      <w:r w:rsidRPr="004D3578">
        <w:br/>
      </w:r>
    </w:p>
    <w:p w14:paraId="7112F1E5" w14:textId="77777777" w:rsidR="00B15B8A" w:rsidRPr="00414DAE" w:rsidRDefault="00B15B8A" w:rsidP="00B15B8A">
      <w:pPr>
        <w:pStyle w:val="Heading3"/>
        <w:ind w:left="0" w:firstLine="0"/>
      </w:pPr>
      <w:r w:rsidRPr="00414DAE">
        <w:t>5.4.2</w:t>
      </w:r>
      <w:r w:rsidRPr="00414DAE">
        <w:tab/>
      </w:r>
      <w:r w:rsidRPr="00414DAE">
        <w:rPr>
          <w:rFonts w:hint="eastAsia"/>
        </w:rPr>
        <w:t xml:space="preserve">Channel </w:t>
      </w:r>
      <w:r w:rsidRPr="00414DAE">
        <w:t>r</w:t>
      </w:r>
      <w:r w:rsidRPr="00414DAE">
        <w:rPr>
          <w:rFonts w:hint="eastAsia"/>
        </w:rPr>
        <w:t>aster</w:t>
      </w:r>
    </w:p>
    <w:p w14:paraId="7ED6E462" w14:textId="77777777" w:rsidR="00B15B8A" w:rsidRPr="00414DAE" w:rsidRDefault="00B15B8A" w:rsidP="00B15B8A">
      <w:pPr>
        <w:pStyle w:val="Heading4"/>
        <w:ind w:left="0" w:firstLine="0"/>
      </w:pPr>
      <w:r w:rsidRPr="00414DAE">
        <w:t>5.4.2.1</w:t>
      </w:r>
      <w:r w:rsidRPr="00414DAE">
        <w:tab/>
        <w:t>NR-ARFCN and c</w:t>
      </w:r>
      <w:r w:rsidRPr="00414DAE">
        <w:rPr>
          <w:rFonts w:hint="eastAsia"/>
        </w:rPr>
        <w:t xml:space="preserve">hannel </w:t>
      </w:r>
      <w:r w:rsidRPr="00414DAE">
        <w:t>r</w:t>
      </w:r>
      <w:r w:rsidRPr="00414DAE">
        <w:rPr>
          <w:rFonts w:hint="eastAsia"/>
        </w:rPr>
        <w:t>aster</w:t>
      </w:r>
    </w:p>
    <w:p w14:paraId="15049018" w14:textId="77777777" w:rsidR="00B15B8A" w:rsidRPr="00414DAE" w:rsidRDefault="00B15B8A" w:rsidP="00B15B8A">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6B18B25F" w14:textId="77777777" w:rsidR="00B15B8A" w:rsidRPr="00414DAE" w:rsidRDefault="00B15B8A" w:rsidP="00B15B8A">
      <w:pPr>
        <w:rPr>
          <w:rFonts w:eastAsia="Yu Mincho"/>
        </w:rPr>
      </w:pPr>
      <w:r w:rsidRPr="00414DAE">
        <w:rPr>
          <w:rFonts w:eastAsia="Yu Mincho"/>
        </w:rPr>
        <w:t xml:space="preserve">The global frequency raster is defined for all frequencies from 0 to 100 GHz. The granularity of the global frequency raster is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D7FD58F" w14:textId="77777777" w:rsidR="00B15B8A" w:rsidRPr="00414DAE" w:rsidRDefault="00B15B8A" w:rsidP="00B15B8A">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w:t>
      </w:r>
      <w:proofErr w:type="spellStart"/>
      <w:r w:rsidRPr="00414DAE">
        <w:rPr>
          <w:rFonts w:eastAsia="Yu Mincho"/>
        </w:rPr>
        <w:t>N</w:t>
      </w:r>
      <w:r w:rsidRPr="00414DAE">
        <w:rPr>
          <w:rFonts w:eastAsia="Yu Mincho"/>
          <w:vertAlign w:val="subscript"/>
        </w:rPr>
        <w:t>Ref</w:t>
      </w:r>
      <w:proofErr w:type="spellEnd"/>
      <w:r w:rsidRPr="00414DAE">
        <w:rPr>
          <w:rFonts w:eastAsia="Yu Mincho"/>
          <w:vertAlign w:val="subscript"/>
        </w:rPr>
        <w:t>-Offs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1C3089EC" w14:textId="77777777" w:rsidR="00B15B8A" w:rsidRPr="00414DAE" w:rsidRDefault="00B15B8A" w:rsidP="00B15B8A">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D27D457" w14:textId="77777777" w:rsidR="00B15B8A" w:rsidRPr="00414DAE" w:rsidRDefault="00B15B8A" w:rsidP="00B15B8A">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B15B8A" w:rsidRPr="00414DAE" w14:paraId="1FCFCF67" w14:textId="77777777" w:rsidTr="00E47973">
        <w:trPr>
          <w:jc w:val="center"/>
        </w:trPr>
        <w:tc>
          <w:tcPr>
            <w:tcW w:w="2241" w:type="dxa"/>
            <w:shd w:val="clear" w:color="auto" w:fill="auto"/>
            <w:vAlign w:val="center"/>
          </w:tcPr>
          <w:p w14:paraId="4C09CA86" w14:textId="77777777" w:rsidR="00B15B8A" w:rsidRPr="00414DAE" w:rsidRDefault="00B15B8A" w:rsidP="00E47973">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2EAB4402" w14:textId="77777777" w:rsidR="00B15B8A" w:rsidRPr="00414DAE" w:rsidRDefault="00B15B8A" w:rsidP="00E47973">
            <w:pPr>
              <w:pStyle w:val="TAH"/>
            </w:pPr>
            <w:proofErr w:type="spellStart"/>
            <w:r w:rsidRPr="00414DAE">
              <w:t>ΔF</w:t>
            </w:r>
            <w:r w:rsidRPr="00414DAE">
              <w:rPr>
                <w:vertAlign w:val="subscript"/>
              </w:rPr>
              <w:t>Global</w:t>
            </w:r>
            <w:proofErr w:type="spellEnd"/>
            <w:r w:rsidRPr="00414DAE">
              <w:rPr>
                <w:vertAlign w:val="subscript"/>
              </w:rPr>
              <w:t xml:space="preserve"> </w:t>
            </w:r>
            <w:r w:rsidRPr="00414DAE">
              <w:t>(kHz)</w:t>
            </w:r>
          </w:p>
        </w:tc>
        <w:tc>
          <w:tcPr>
            <w:tcW w:w="1590" w:type="dxa"/>
            <w:shd w:val="clear" w:color="auto" w:fill="auto"/>
            <w:vAlign w:val="center"/>
          </w:tcPr>
          <w:p w14:paraId="7B5CC595" w14:textId="77777777" w:rsidR="00B15B8A" w:rsidRPr="00414DAE" w:rsidRDefault="00B15B8A" w:rsidP="00E47973">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3114E28F" w14:textId="77777777" w:rsidR="00B15B8A" w:rsidRPr="00414DAE" w:rsidRDefault="00B15B8A" w:rsidP="00E47973">
            <w:pPr>
              <w:pStyle w:val="TAH"/>
            </w:pPr>
            <w:r w:rsidRPr="00414DAE">
              <w:t>N</w:t>
            </w:r>
            <w:r w:rsidRPr="00414DAE">
              <w:rPr>
                <w:vertAlign w:val="subscript"/>
              </w:rPr>
              <w:t>REF-Offs</w:t>
            </w:r>
          </w:p>
        </w:tc>
        <w:tc>
          <w:tcPr>
            <w:tcW w:w="1935" w:type="dxa"/>
            <w:shd w:val="clear" w:color="auto" w:fill="auto"/>
            <w:vAlign w:val="center"/>
          </w:tcPr>
          <w:p w14:paraId="0944647D" w14:textId="77777777" w:rsidR="00B15B8A" w:rsidRPr="00414DAE" w:rsidRDefault="00B15B8A" w:rsidP="00E47973">
            <w:pPr>
              <w:pStyle w:val="TAH"/>
            </w:pPr>
            <w:r w:rsidRPr="00414DAE">
              <w:t>Range of N</w:t>
            </w:r>
            <w:r w:rsidRPr="00414DAE">
              <w:rPr>
                <w:vertAlign w:val="subscript"/>
              </w:rPr>
              <w:t>REF</w:t>
            </w:r>
          </w:p>
        </w:tc>
      </w:tr>
      <w:tr w:rsidR="00B15B8A" w:rsidRPr="00414DAE" w14:paraId="425ED6A4" w14:textId="77777777" w:rsidTr="00E47973">
        <w:trPr>
          <w:jc w:val="center"/>
        </w:trPr>
        <w:tc>
          <w:tcPr>
            <w:tcW w:w="2241" w:type="dxa"/>
            <w:shd w:val="clear" w:color="auto" w:fill="auto"/>
            <w:vAlign w:val="center"/>
          </w:tcPr>
          <w:p w14:paraId="02545A8B" w14:textId="77777777" w:rsidR="00B15B8A" w:rsidRPr="00414DAE" w:rsidRDefault="00B15B8A" w:rsidP="00E47973">
            <w:pPr>
              <w:pStyle w:val="TAC"/>
            </w:pPr>
            <w:r w:rsidRPr="00414DAE">
              <w:t>0 – 3000</w:t>
            </w:r>
          </w:p>
        </w:tc>
        <w:tc>
          <w:tcPr>
            <w:tcW w:w="1369" w:type="dxa"/>
            <w:shd w:val="clear" w:color="auto" w:fill="auto"/>
            <w:vAlign w:val="center"/>
          </w:tcPr>
          <w:p w14:paraId="79223BD8" w14:textId="77777777" w:rsidR="00B15B8A" w:rsidRPr="00414DAE" w:rsidRDefault="00B15B8A" w:rsidP="00E47973">
            <w:pPr>
              <w:pStyle w:val="TAC"/>
            </w:pPr>
            <w:r w:rsidRPr="00414DAE">
              <w:t>5</w:t>
            </w:r>
          </w:p>
        </w:tc>
        <w:tc>
          <w:tcPr>
            <w:tcW w:w="1590" w:type="dxa"/>
            <w:shd w:val="clear" w:color="auto" w:fill="auto"/>
            <w:vAlign w:val="center"/>
          </w:tcPr>
          <w:p w14:paraId="315EB3E6" w14:textId="77777777" w:rsidR="00B15B8A" w:rsidRPr="00414DAE" w:rsidRDefault="00B15B8A" w:rsidP="00E47973">
            <w:pPr>
              <w:pStyle w:val="TAC"/>
            </w:pPr>
            <w:r w:rsidRPr="00414DAE">
              <w:t>0</w:t>
            </w:r>
          </w:p>
        </w:tc>
        <w:tc>
          <w:tcPr>
            <w:tcW w:w="1134" w:type="dxa"/>
            <w:shd w:val="clear" w:color="auto" w:fill="auto"/>
            <w:vAlign w:val="center"/>
          </w:tcPr>
          <w:p w14:paraId="192854A6" w14:textId="77777777" w:rsidR="00B15B8A" w:rsidRPr="00414DAE" w:rsidRDefault="00B15B8A" w:rsidP="00E47973">
            <w:pPr>
              <w:pStyle w:val="TAC"/>
            </w:pPr>
            <w:r w:rsidRPr="00414DAE">
              <w:t>0</w:t>
            </w:r>
          </w:p>
        </w:tc>
        <w:tc>
          <w:tcPr>
            <w:tcW w:w="1935" w:type="dxa"/>
            <w:shd w:val="clear" w:color="auto" w:fill="auto"/>
            <w:vAlign w:val="center"/>
          </w:tcPr>
          <w:p w14:paraId="3B4432D5" w14:textId="77777777" w:rsidR="00B15B8A" w:rsidRPr="00414DAE" w:rsidRDefault="00B15B8A" w:rsidP="00E47973">
            <w:pPr>
              <w:pStyle w:val="TAC"/>
            </w:pPr>
            <w:r w:rsidRPr="00414DAE">
              <w:t>0 – 599999</w:t>
            </w:r>
          </w:p>
        </w:tc>
      </w:tr>
      <w:tr w:rsidR="00B15B8A" w:rsidRPr="00414DAE" w14:paraId="7EF7B20D" w14:textId="77777777" w:rsidTr="00E47973">
        <w:trPr>
          <w:jc w:val="center"/>
        </w:trPr>
        <w:tc>
          <w:tcPr>
            <w:tcW w:w="2241" w:type="dxa"/>
            <w:shd w:val="clear" w:color="auto" w:fill="auto"/>
            <w:vAlign w:val="center"/>
          </w:tcPr>
          <w:p w14:paraId="4B5D336F" w14:textId="77777777" w:rsidR="00B15B8A" w:rsidRPr="00414DAE" w:rsidRDefault="00B15B8A" w:rsidP="00E47973">
            <w:pPr>
              <w:pStyle w:val="TAC"/>
            </w:pPr>
            <w:r w:rsidRPr="00414DAE">
              <w:t>3000 – 24250</w:t>
            </w:r>
          </w:p>
        </w:tc>
        <w:tc>
          <w:tcPr>
            <w:tcW w:w="1369" w:type="dxa"/>
            <w:shd w:val="clear" w:color="auto" w:fill="auto"/>
            <w:vAlign w:val="center"/>
          </w:tcPr>
          <w:p w14:paraId="518B0BB4" w14:textId="77777777" w:rsidR="00B15B8A" w:rsidRPr="00414DAE" w:rsidRDefault="00B15B8A" w:rsidP="00E47973">
            <w:pPr>
              <w:pStyle w:val="TAC"/>
            </w:pPr>
            <w:r w:rsidRPr="00414DAE">
              <w:t>15</w:t>
            </w:r>
          </w:p>
        </w:tc>
        <w:tc>
          <w:tcPr>
            <w:tcW w:w="1590" w:type="dxa"/>
            <w:shd w:val="clear" w:color="auto" w:fill="auto"/>
            <w:vAlign w:val="center"/>
          </w:tcPr>
          <w:p w14:paraId="5E4CE52F" w14:textId="77777777" w:rsidR="00B15B8A" w:rsidRPr="00414DAE" w:rsidRDefault="00B15B8A" w:rsidP="00E47973">
            <w:pPr>
              <w:pStyle w:val="TAC"/>
            </w:pPr>
            <w:r w:rsidRPr="00414DAE">
              <w:t>3000</w:t>
            </w:r>
          </w:p>
        </w:tc>
        <w:tc>
          <w:tcPr>
            <w:tcW w:w="1134" w:type="dxa"/>
            <w:shd w:val="clear" w:color="auto" w:fill="auto"/>
            <w:vAlign w:val="center"/>
          </w:tcPr>
          <w:p w14:paraId="47013263" w14:textId="77777777" w:rsidR="00B15B8A" w:rsidRPr="00414DAE" w:rsidRDefault="00B15B8A" w:rsidP="00E47973">
            <w:pPr>
              <w:pStyle w:val="TAC"/>
            </w:pPr>
            <w:r w:rsidRPr="00414DAE">
              <w:t>600000</w:t>
            </w:r>
          </w:p>
        </w:tc>
        <w:tc>
          <w:tcPr>
            <w:tcW w:w="1935" w:type="dxa"/>
            <w:shd w:val="clear" w:color="auto" w:fill="auto"/>
            <w:vAlign w:val="center"/>
          </w:tcPr>
          <w:p w14:paraId="13F6D28A" w14:textId="77777777" w:rsidR="00B15B8A" w:rsidRPr="00414DAE" w:rsidRDefault="00B15B8A" w:rsidP="00E47973">
            <w:pPr>
              <w:pStyle w:val="TAC"/>
            </w:pPr>
            <w:r w:rsidRPr="00414DAE">
              <w:t>600000 – 2016666</w:t>
            </w:r>
          </w:p>
        </w:tc>
      </w:tr>
    </w:tbl>
    <w:p w14:paraId="7F768638" w14:textId="77777777" w:rsidR="00B15B8A" w:rsidRPr="00414DAE" w:rsidRDefault="00B15B8A" w:rsidP="00B15B8A">
      <w:pPr>
        <w:rPr>
          <w:rFonts w:eastAsia="Yu Mincho"/>
        </w:rPr>
      </w:pPr>
    </w:p>
    <w:p w14:paraId="010808F6" w14:textId="77777777" w:rsidR="00B15B8A" w:rsidRPr="00414DAE" w:rsidRDefault="00B15B8A" w:rsidP="00B15B8A">
      <w:pPr>
        <w:rPr>
          <w:rFonts w:eastAsia="Yu Mincho"/>
        </w:rPr>
      </w:pPr>
      <w:r w:rsidRPr="00414DA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414DAE">
        <w:rPr>
          <w:rFonts w:eastAsia="Yu Mincho"/>
        </w:rPr>
        <w:t>ΔF</w:t>
      </w:r>
      <w:r w:rsidRPr="00414DAE">
        <w:rPr>
          <w:rFonts w:eastAsia="Yu Mincho"/>
          <w:vertAlign w:val="subscript"/>
        </w:rPr>
        <w:t>Raster</w:t>
      </w:r>
      <w:proofErr w:type="spellEnd"/>
      <w:r w:rsidRPr="00414DAE">
        <w:rPr>
          <w:rFonts w:eastAsia="Yu Mincho"/>
        </w:rPr>
        <w:t xml:space="preserve">, which may be equal to or larger than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C4C6729" w14:textId="77777777" w:rsidR="00B15B8A" w:rsidRPr="00414DAE" w:rsidRDefault="00B15B8A" w:rsidP="00B15B8A">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0A1E66AB" w14:textId="77777777" w:rsidR="00B15B8A" w:rsidRPr="00414DAE" w:rsidRDefault="00B15B8A" w:rsidP="00B15B8A">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4B5553C6" w14:textId="77777777" w:rsidR="00B15B8A" w:rsidRPr="00414DAE" w:rsidRDefault="00B15B8A" w:rsidP="00B15B8A">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237BA41E" w14:textId="77777777" w:rsidR="00B15B8A" w:rsidRPr="00414DAE" w:rsidRDefault="00B15B8A" w:rsidP="00B15B8A">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F3BF86F" w14:textId="5953D223" w:rsidR="007776F7" w:rsidRDefault="007776F7" w:rsidP="007776F7"/>
    <w:p w14:paraId="7FB16E3D" w14:textId="54DF1F15" w:rsidR="00B15B8A" w:rsidRDefault="00B15B8A">
      <w:pPr>
        <w:spacing w:after="0"/>
      </w:pPr>
      <w:r>
        <w:br w:type="page"/>
      </w:r>
    </w:p>
    <w:p w14:paraId="01104FBF" w14:textId="1A592A98" w:rsidR="00B15B8A" w:rsidRDefault="00B15B8A" w:rsidP="00B15B8A">
      <w:pPr>
        <w:pStyle w:val="Heading8"/>
      </w:pPr>
      <w:r w:rsidRPr="004D3578">
        <w:lastRenderedPageBreak/>
        <w:t xml:space="preserve">Annex </w:t>
      </w:r>
      <w:r>
        <w:t>D</w:t>
      </w:r>
      <w:r w:rsidRPr="004D3578">
        <w:t xml:space="preserve"> (</w:t>
      </w:r>
      <w:r>
        <w:t>excerpt from TS 38.331</w:t>
      </w:r>
      <w:r w:rsidRPr="004D3578">
        <w:t>):</w:t>
      </w:r>
      <w:r w:rsidRPr="004D3578">
        <w:br/>
      </w:r>
    </w:p>
    <w:p w14:paraId="69D00C74" w14:textId="77777777" w:rsidR="00B15B8A" w:rsidRPr="00A047D1" w:rsidRDefault="00B15B8A" w:rsidP="00B15B8A">
      <w:pPr>
        <w:pStyle w:val="Heading4"/>
        <w:rPr>
          <w:i/>
          <w:noProof/>
        </w:rPr>
      </w:pPr>
      <w:proofErr w:type="spellStart"/>
      <w:r w:rsidRPr="00A047D1">
        <w:rPr>
          <w:i/>
        </w:rPr>
        <w:t>FrequencyInfoUL</w:t>
      </w:r>
      <w:proofErr w:type="spellEnd"/>
    </w:p>
    <w:p w14:paraId="6D7AB593" w14:textId="77777777" w:rsidR="00B15B8A" w:rsidRPr="00A047D1" w:rsidRDefault="00B15B8A" w:rsidP="00B15B8A">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1794C23D" w14:textId="77777777" w:rsidR="00B15B8A" w:rsidRPr="00A047D1" w:rsidRDefault="00B15B8A" w:rsidP="00B15B8A">
      <w:pPr>
        <w:pStyle w:val="TH"/>
      </w:pPr>
      <w:proofErr w:type="spellStart"/>
      <w:r w:rsidRPr="00A047D1">
        <w:rPr>
          <w:bCs/>
          <w:i/>
          <w:iCs/>
        </w:rPr>
        <w:t>FrequencyInfoUL</w:t>
      </w:r>
      <w:proofErr w:type="spellEnd"/>
      <w:r w:rsidRPr="00A047D1">
        <w:rPr>
          <w:bCs/>
          <w:i/>
          <w:iCs/>
        </w:rPr>
        <w:t xml:space="preserve"> </w:t>
      </w:r>
      <w:r w:rsidRPr="00A047D1">
        <w:t>information element</w:t>
      </w:r>
    </w:p>
    <w:p w14:paraId="40EC5F20" w14:textId="77777777" w:rsidR="00B15B8A" w:rsidRPr="00A047D1" w:rsidRDefault="00B15B8A" w:rsidP="00B15B8A">
      <w:pPr>
        <w:pStyle w:val="PL"/>
      </w:pPr>
      <w:r w:rsidRPr="00A047D1">
        <w:t>-- ASN1START</w:t>
      </w:r>
    </w:p>
    <w:p w14:paraId="470A149C" w14:textId="77777777" w:rsidR="00B15B8A" w:rsidRPr="00A047D1" w:rsidRDefault="00B15B8A" w:rsidP="00B15B8A">
      <w:pPr>
        <w:pStyle w:val="PL"/>
      </w:pPr>
      <w:r w:rsidRPr="00A047D1">
        <w:t>-- TAG-FREQUENCYINFOUL-START</w:t>
      </w:r>
    </w:p>
    <w:p w14:paraId="68C5712C" w14:textId="77777777" w:rsidR="00B15B8A" w:rsidRPr="00A047D1" w:rsidRDefault="00B15B8A" w:rsidP="00B15B8A">
      <w:pPr>
        <w:pStyle w:val="PL"/>
      </w:pPr>
    </w:p>
    <w:p w14:paraId="79939047" w14:textId="77777777" w:rsidR="00B15B8A" w:rsidRPr="00A047D1" w:rsidRDefault="00B15B8A" w:rsidP="00B15B8A">
      <w:pPr>
        <w:pStyle w:val="PL"/>
      </w:pPr>
      <w:r w:rsidRPr="00A047D1">
        <w:t>FrequencyInfoUL ::=                 SEQUENCE {</w:t>
      </w:r>
    </w:p>
    <w:p w14:paraId="2D12F831" w14:textId="77777777" w:rsidR="00B15B8A" w:rsidRPr="00A047D1" w:rsidRDefault="00B15B8A" w:rsidP="00B15B8A">
      <w:pPr>
        <w:pStyle w:val="PL"/>
      </w:pPr>
      <w:r w:rsidRPr="00A047D1">
        <w:t xml:space="preserve">    frequencyBandList                   MultiFrequencyBandListNR                                OPTIONAL,   -- Cond FDD-OrSUL</w:t>
      </w:r>
    </w:p>
    <w:p w14:paraId="4BC84824" w14:textId="77777777" w:rsidR="00B15B8A" w:rsidRPr="00A047D1" w:rsidRDefault="00B15B8A" w:rsidP="00B15B8A">
      <w:pPr>
        <w:pStyle w:val="PL"/>
      </w:pPr>
      <w:r w:rsidRPr="00A047D1">
        <w:t xml:space="preserve">    absoluteFrequencyPointA             ARFCN-ValueNR                                           OPTIONAL,   -- Cond FDD-OrSUL</w:t>
      </w:r>
    </w:p>
    <w:p w14:paraId="5D846CD6" w14:textId="77777777" w:rsidR="00B15B8A" w:rsidRPr="00A047D1" w:rsidRDefault="00B15B8A" w:rsidP="00B15B8A">
      <w:pPr>
        <w:pStyle w:val="PL"/>
      </w:pPr>
      <w:r w:rsidRPr="00A047D1">
        <w:t xml:space="preserve">    scs-SpecificCarrierList             SEQUENCE (SIZE (1..maxSCSs)) OF SCS-SpecificCarrier,</w:t>
      </w:r>
    </w:p>
    <w:p w14:paraId="3C502CD4" w14:textId="77777777" w:rsidR="00B15B8A" w:rsidRPr="00A047D1" w:rsidRDefault="00B15B8A" w:rsidP="00B15B8A">
      <w:pPr>
        <w:pStyle w:val="PL"/>
      </w:pPr>
      <w:r w:rsidRPr="00A047D1">
        <w:t xml:space="preserve">    additionalSpectrumEmission          AdditionalSpectrumEmission                              OPTIONAL,   -- Need S</w:t>
      </w:r>
    </w:p>
    <w:p w14:paraId="6AD487BF" w14:textId="77777777" w:rsidR="00B15B8A" w:rsidRPr="00A047D1" w:rsidRDefault="00B15B8A" w:rsidP="00B15B8A">
      <w:pPr>
        <w:pStyle w:val="PL"/>
      </w:pPr>
      <w:r w:rsidRPr="00A047D1">
        <w:t xml:space="preserve">    p-Max                               P-Max                                                   OPTIONAL,   -- Need S</w:t>
      </w:r>
    </w:p>
    <w:p w14:paraId="76689635" w14:textId="77777777" w:rsidR="00B15B8A" w:rsidRPr="00A047D1" w:rsidRDefault="00B15B8A" w:rsidP="00B15B8A">
      <w:pPr>
        <w:pStyle w:val="PL"/>
      </w:pPr>
      <w:r w:rsidRPr="00A047D1">
        <w:t xml:space="preserve">    </w:t>
      </w:r>
      <w:r w:rsidRPr="00EF0142">
        <w:rPr>
          <w:highlight w:val="yellow"/>
        </w:rPr>
        <w:t>frequencyShift7p5khz                ENUMERATED {true}                                       OPTIONAL,   -- Cond FDD-TDD-OrSUL-Optional</w:t>
      </w:r>
    </w:p>
    <w:p w14:paraId="255757C8" w14:textId="77777777" w:rsidR="00B15B8A" w:rsidRPr="00A047D1" w:rsidRDefault="00B15B8A" w:rsidP="00B15B8A">
      <w:pPr>
        <w:pStyle w:val="PL"/>
      </w:pPr>
      <w:r w:rsidRPr="00A047D1">
        <w:t xml:space="preserve">    ...</w:t>
      </w:r>
    </w:p>
    <w:p w14:paraId="22CF561F" w14:textId="77777777" w:rsidR="00B15B8A" w:rsidRPr="00A047D1" w:rsidRDefault="00B15B8A" w:rsidP="00B15B8A">
      <w:pPr>
        <w:pStyle w:val="PL"/>
      </w:pPr>
      <w:r w:rsidRPr="00A047D1">
        <w:t>}</w:t>
      </w:r>
    </w:p>
    <w:p w14:paraId="07279B29" w14:textId="77777777" w:rsidR="00B15B8A" w:rsidRPr="00A047D1" w:rsidRDefault="00B15B8A" w:rsidP="00B15B8A">
      <w:pPr>
        <w:pStyle w:val="PL"/>
      </w:pPr>
    </w:p>
    <w:p w14:paraId="15783AB4" w14:textId="77777777" w:rsidR="00B15B8A" w:rsidRPr="00A047D1" w:rsidRDefault="00B15B8A" w:rsidP="00B15B8A">
      <w:pPr>
        <w:pStyle w:val="PL"/>
      </w:pPr>
      <w:r w:rsidRPr="00A047D1">
        <w:t>-- TAG-FREQUENCYINFOUL-STOP</w:t>
      </w:r>
    </w:p>
    <w:p w14:paraId="4070D7D1" w14:textId="77777777" w:rsidR="00B15B8A" w:rsidRPr="00A047D1" w:rsidRDefault="00B15B8A" w:rsidP="00B15B8A">
      <w:pPr>
        <w:pStyle w:val="PL"/>
      </w:pPr>
      <w:r w:rsidRPr="00A047D1">
        <w:t>-- ASN1STOP</w:t>
      </w:r>
    </w:p>
    <w:p w14:paraId="44145141"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B8A" w:rsidRPr="00A047D1" w14:paraId="30BCB97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A7E0CC5" w14:textId="77777777" w:rsidR="00B15B8A" w:rsidRPr="00A047D1" w:rsidRDefault="00B15B8A" w:rsidP="00E47973">
            <w:pPr>
              <w:pStyle w:val="TAH"/>
              <w:rPr>
                <w:szCs w:val="22"/>
                <w:lang w:eastAsia="ja-JP"/>
              </w:rPr>
            </w:pPr>
            <w:proofErr w:type="spellStart"/>
            <w:r w:rsidRPr="00A047D1">
              <w:rPr>
                <w:i/>
                <w:szCs w:val="22"/>
                <w:lang w:eastAsia="ja-JP"/>
              </w:rPr>
              <w:t>FrequencyInfoUL</w:t>
            </w:r>
            <w:proofErr w:type="spellEnd"/>
            <w:r w:rsidRPr="00A047D1">
              <w:rPr>
                <w:i/>
                <w:szCs w:val="22"/>
                <w:lang w:eastAsia="ja-JP"/>
              </w:rPr>
              <w:t xml:space="preserve"> </w:t>
            </w:r>
            <w:r w:rsidRPr="00A047D1">
              <w:rPr>
                <w:szCs w:val="22"/>
                <w:lang w:eastAsia="ja-JP"/>
              </w:rPr>
              <w:t>field descriptions</w:t>
            </w:r>
          </w:p>
        </w:tc>
      </w:tr>
      <w:tr w:rsidR="00B15B8A" w:rsidRPr="00A047D1" w14:paraId="3D3DFF5C"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2399D1" w14:textId="77777777" w:rsidR="00B15B8A" w:rsidRPr="00A047D1" w:rsidRDefault="00B15B8A" w:rsidP="00E47973">
            <w:pPr>
              <w:pStyle w:val="TAL"/>
              <w:rPr>
                <w:szCs w:val="22"/>
                <w:lang w:eastAsia="ja-JP"/>
              </w:rPr>
            </w:pPr>
            <w:proofErr w:type="spellStart"/>
            <w:r w:rsidRPr="00A047D1">
              <w:rPr>
                <w:b/>
                <w:i/>
                <w:szCs w:val="22"/>
                <w:lang w:eastAsia="ja-JP"/>
              </w:rPr>
              <w:t>absoluteFrequencyPointA</w:t>
            </w:r>
            <w:proofErr w:type="spellEnd"/>
          </w:p>
          <w:p w14:paraId="17D0B860" w14:textId="77777777" w:rsidR="00B15B8A" w:rsidRPr="00A047D1" w:rsidRDefault="00B15B8A" w:rsidP="00E47973">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rPr>
              <w:t>scs-SpecificCarrierList</w:t>
            </w:r>
            <w:proofErr w:type="spellEnd"/>
            <w:r w:rsidRPr="00A047D1">
              <w:rPr>
                <w:szCs w:val="22"/>
                <w:lang w:eastAsia="ja-JP"/>
              </w:rPr>
              <w:t xml:space="preserve"> (see TS 38.211 [16], clause 4.4.4.2).</w:t>
            </w:r>
          </w:p>
        </w:tc>
      </w:tr>
      <w:tr w:rsidR="00B15B8A" w:rsidRPr="00A047D1" w14:paraId="03725164"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0E7A4703" w14:textId="77777777" w:rsidR="00B15B8A" w:rsidRPr="00A047D1" w:rsidRDefault="00B15B8A" w:rsidP="00E47973">
            <w:pPr>
              <w:pStyle w:val="TAL"/>
              <w:rPr>
                <w:szCs w:val="22"/>
                <w:lang w:eastAsia="ja-JP"/>
              </w:rPr>
            </w:pPr>
            <w:proofErr w:type="spellStart"/>
            <w:r w:rsidRPr="00A047D1">
              <w:rPr>
                <w:b/>
                <w:i/>
                <w:szCs w:val="22"/>
                <w:lang w:eastAsia="ja-JP"/>
              </w:rPr>
              <w:t>additionalSpectrumEmission</w:t>
            </w:r>
            <w:proofErr w:type="spellEnd"/>
          </w:p>
          <w:p w14:paraId="040308B9" w14:textId="77777777" w:rsidR="00B15B8A" w:rsidRPr="00A047D1" w:rsidRDefault="00B15B8A" w:rsidP="00E47973">
            <w:pPr>
              <w:pStyle w:val="TAL"/>
              <w:rPr>
                <w:szCs w:val="22"/>
                <w:lang w:eastAsia="ja-JP"/>
              </w:rPr>
            </w:pPr>
            <w:r w:rsidRPr="00A047D1">
              <w:rPr>
                <w:szCs w:val="22"/>
                <w:lang w:eastAsia="ja-JP"/>
              </w:rPr>
              <w:t xml:space="preserve">The additional spectrum emission requirements to be applied by the UE on this uplink. If the field is absent, the UE uses value 0 for the </w:t>
            </w:r>
            <w:proofErr w:type="spellStart"/>
            <w:r w:rsidRPr="00A047D1">
              <w:rPr>
                <w:i/>
                <w:szCs w:val="22"/>
                <w:lang w:eastAsia="ja-JP"/>
              </w:rPr>
              <w:t>additionalSpectrumEmission</w:t>
            </w:r>
            <w:proofErr w:type="spellEnd"/>
            <w:r w:rsidRPr="00A047D1">
              <w:rPr>
                <w:szCs w:val="22"/>
                <w:lang w:eastAsia="ja-JP"/>
              </w:rPr>
              <w:t xml:space="preserve"> (see </w:t>
            </w:r>
            <w:r w:rsidRPr="00A047D1">
              <w:rPr>
                <w:lang w:eastAsia="ja-JP"/>
              </w:rPr>
              <w:t xml:space="preserve">TS 38.101-1 [15], </w:t>
            </w:r>
            <w:r w:rsidRPr="00A047D1">
              <w:rPr>
                <w:szCs w:val="22"/>
                <w:lang w:eastAsia="ja-JP"/>
              </w:rPr>
              <w:t>table 6.2.3.1-1A, and TS 38.101-2 [39], table 6.2.3.1-2).</w:t>
            </w:r>
          </w:p>
        </w:tc>
      </w:tr>
      <w:tr w:rsidR="00B15B8A" w:rsidRPr="00A047D1" w14:paraId="28B0D219"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A914EF" w14:textId="77777777" w:rsidR="00B15B8A" w:rsidRPr="00A047D1" w:rsidRDefault="00B15B8A" w:rsidP="00E47973">
            <w:pPr>
              <w:pStyle w:val="TAL"/>
              <w:rPr>
                <w:szCs w:val="22"/>
                <w:lang w:eastAsia="ja-JP"/>
              </w:rPr>
            </w:pPr>
            <w:proofErr w:type="spellStart"/>
            <w:r w:rsidRPr="00A047D1">
              <w:rPr>
                <w:b/>
                <w:i/>
                <w:szCs w:val="22"/>
                <w:lang w:eastAsia="ja-JP"/>
              </w:rPr>
              <w:t>frequencyBandList</w:t>
            </w:r>
            <w:proofErr w:type="spellEnd"/>
          </w:p>
          <w:p w14:paraId="18950A17" w14:textId="77777777" w:rsidR="00B15B8A" w:rsidRPr="00A047D1" w:rsidRDefault="00B15B8A" w:rsidP="00E47973">
            <w:pPr>
              <w:pStyle w:val="TAL"/>
              <w:rPr>
                <w:szCs w:val="22"/>
                <w:lang w:eastAsia="ja-JP"/>
              </w:rPr>
            </w:pPr>
            <w:r w:rsidRPr="00A047D1">
              <w:rPr>
                <w:szCs w:val="22"/>
                <w:lang w:eastAsia="ja-JP"/>
              </w:rPr>
              <w:t>List containing only one frequency band to which this carrier(s) belongs. Multiple values are not supported.</w:t>
            </w:r>
          </w:p>
        </w:tc>
      </w:tr>
      <w:tr w:rsidR="00B15B8A" w:rsidRPr="00A047D1" w14:paraId="3225768A"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2278D656" w14:textId="77777777" w:rsidR="00B15B8A" w:rsidRPr="00EF0142" w:rsidRDefault="00B15B8A" w:rsidP="00E47973">
            <w:pPr>
              <w:pStyle w:val="TAL"/>
              <w:rPr>
                <w:szCs w:val="22"/>
                <w:highlight w:val="yellow"/>
                <w:lang w:eastAsia="ja-JP"/>
              </w:rPr>
            </w:pPr>
            <w:r w:rsidRPr="00EF0142">
              <w:rPr>
                <w:b/>
                <w:i/>
                <w:szCs w:val="22"/>
                <w:highlight w:val="yellow"/>
                <w:lang w:eastAsia="ja-JP"/>
              </w:rPr>
              <w:t>frequencyShift7p5khz</w:t>
            </w:r>
          </w:p>
          <w:p w14:paraId="10C35F23" w14:textId="77777777" w:rsidR="00B15B8A" w:rsidRPr="00A047D1" w:rsidRDefault="00B15B8A" w:rsidP="00E47973">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B15B8A" w:rsidRPr="00A047D1" w14:paraId="3337713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62416825" w14:textId="77777777" w:rsidR="00B15B8A" w:rsidRPr="00A047D1" w:rsidRDefault="00B15B8A" w:rsidP="00E47973">
            <w:pPr>
              <w:pStyle w:val="TAL"/>
              <w:rPr>
                <w:szCs w:val="22"/>
                <w:lang w:eastAsia="ja-JP"/>
              </w:rPr>
            </w:pPr>
            <w:r w:rsidRPr="00A047D1">
              <w:rPr>
                <w:b/>
                <w:i/>
                <w:szCs w:val="22"/>
                <w:lang w:eastAsia="ja-JP"/>
              </w:rPr>
              <w:t>p-Max</w:t>
            </w:r>
          </w:p>
          <w:p w14:paraId="02452F62" w14:textId="77777777" w:rsidR="00B15B8A" w:rsidRPr="00A047D1" w:rsidRDefault="00B15B8A" w:rsidP="00E47973">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B15B8A" w:rsidRPr="00A047D1" w14:paraId="1A10452F"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70FED758" w14:textId="77777777" w:rsidR="00B15B8A" w:rsidRPr="00A047D1" w:rsidRDefault="00B15B8A" w:rsidP="00E47973">
            <w:pPr>
              <w:pStyle w:val="TAL"/>
              <w:rPr>
                <w:szCs w:val="22"/>
                <w:lang w:eastAsia="ja-JP"/>
              </w:rPr>
            </w:pPr>
            <w:proofErr w:type="spellStart"/>
            <w:r w:rsidRPr="00A047D1">
              <w:rPr>
                <w:b/>
                <w:i/>
                <w:szCs w:val="22"/>
                <w:lang w:eastAsia="ja-JP"/>
              </w:rPr>
              <w:t>scs-SpecificCarrierList</w:t>
            </w:r>
            <w:proofErr w:type="spellEnd"/>
          </w:p>
          <w:p w14:paraId="7B983AAF" w14:textId="77777777" w:rsidR="00B15B8A" w:rsidRPr="00A047D1" w:rsidRDefault="00B15B8A" w:rsidP="00E47973">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proofErr w:type="spellStart"/>
            <w:r w:rsidRPr="00A047D1">
              <w:rPr>
                <w:i/>
              </w:rPr>
              <w:t>scs-SpecificCarrier</w:t>
            </w:r>
            <w:proofErr w:type="spellEnd"/>
            <w:r w:rsidRPr="00A047D1">
              <w:rPr>
                <w:szCs w:val="22"/>
                <w:lang w:eastAsia="ja-JP"/>
              </w:rPr>
              <w:t xml:space="preserve"> at least for each numerology (SCS) that is used e.g. in a BWP (see TS 38.211 [16], clause 5.3).</w:t>
            </w:r>
          </w:p>
        </w:tc>
      </w:tr>
    </w:tbl>
    <w:p w14:paraId="7D3AEE6B"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5B8A" w:rsidRPr="00A047D1" w14:paraId="368744A3"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58D9709C" w14:textId="77777777" w:rsidR="00B15B8A" w:rsidRPr="00A047D1" w:rsidRDefault="00B15B8A" w:rsidP="00E47973">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206B0" w14:textId="77777777" w:rsidR="00B15B8A" w:rsidRPr="00A047D1" w:rsidRDefault="00B15B8A" w:rsidP="00E47973">
            <w:pPr>
              <w:pStyle w:val="TAH"/>
              <w:rPr>
                <w:lang w:eastAsia="ja-JP"/>
              </w:rPr>
            </w:pPr>
            <w:r w:rsidRPr="00A047D1">
              <w:rPr>
                <w:lang w:eastAsia="ja-JP"/>
              </w:rPr>
              <w:t>Explanation</w:t>
            </w:r>
          </w:p>
        </w:tc>
      </w:tr>
      <w:tr w:rsidR="00B15B8A" w:rsidRPr="00A047D1" w14:paraId="021BCB65"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E60EB9D" w14:textId="77777777" w:rsidR="00B15B8A" w:rsidRPr="00A047D1" w:rsidRDefault="00B15B8A" w:rsidP="00E47973">
            <w:pPr>
              <w:pStyle w:val="TAL"/>
              <w:rPr>
                <w:i/>
                <w:lang w:eastAsia="ja-JP"/>
              </w:rPr>
            </w:pPr>
            <w:r w:rsidRPr="00A047D1">
              <w:rPr>
                <w:i/>
                <w:lang w:eastAsia="ja-JP"/>
              </w:rPr>
              <w:t>FDD-</w:t>
            </w:r>
            <w:proofErr w:type="spellStart"/>
            <w:r w:rsidRPr="00A047D1">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BF466" w14:textId="77777777" w:rsidR="00B15B8A" w:rsidRPr="00A047D1" w:rsidRDefault="00B15B8A" w:rsidP="00E47973">
            <w:pPr>
              <w:pStyle w:val="TAL"/>
              <w:rPr>
                <w:lang w:eastAsia="ja-JP"/>
              </w:rPr>
            </w:pPr>
            <w:r w:rsidRPr="00A047D1">
              <w:rPr>
                <w:lang w:eastAsia="ja-JP"/>
              </w:rPr>
              <w:t xml:space="preserve">The field is mandatory present if this </w:t>
            </w:r>
            <w:proofErr w:type="spellStart"/>
            <w:r w:rsidRPr="00A047D1">
              <w:rPr>
                <w:i/>
              </w:rPr>
              <w:t>FrequencyInfoUL</w:t>
            </w:r>
            <w:proofErr w:type="spellEnd"/>
            <w:r w:rsidRPr="00A047D1">
              <w:rPr>
                <w:lang w:eastAsia="ja-JP"/>
              </w:rPr>
              <w:t xml:space="preserve"> is for the paired UL for a DL (defined in a </w:t>
            </w:r>
            <w:proofErr w:type="spellStart"/>
            <w:r w:rsidRPr="00A047D1">
              <w:rPr>
                <w:i/>
              </w:rPr>
              <w:t>FrequencyInfoDL</w:t>
            </w:r>
            <w:proofErr w:type="spellEnd"/>
            <w:r w:rsidRPr="00A047D1">
              <w:rPr>
                <w:lang w:eastAsia="ja-JP"/>
              </w:rPr>
              <w:t xml:space="preserve">) or if this </w:t>
            </w:r>
            <w:proofErr w:type="spellStart"/>
            <w:r w:rsidRPr="00A047D1">
              <w:rPr>
                <w:i/>
              </w:rPr>
              <w:t>FrequencyInfoUL</w:t>
            </w:r>
            <w:proofErr w:type="spellEnd"/>
            <w:r w:rsidRPr="00A047D1">
              <w:rPr>
                <w:lang w:eastAsia="ja-JP"/>
              </w:rPr>
              <w:t xml:space="preserve"> is for a supplementary uplink (SUL). It is absent otherwise (if this </w:t>
            </w:r>
            <w:proofErr w:type="spellStart"/>
            <w:r w:rsidRPr="00A047D1">
              <w:rPr>
                <w:i/>
              </w:rPr>
              <w:t>FrequencyInfoUL</w:t>
            </w:r>
            <w:proofErr w:type="spellEnd"/>
            <w:r w:rsidRPr="00A047D1">
              <w:rPr>
                <w:lang w:eastAsia="ja-JP"/>
              </w:rPr>
              <w:t xml:space="preserve"> is for an unpaired UL (TDD).</w:t>
            </w:r>
          </w:p>
        </w:tc>
      </w:tr>
      <w:tr w:rsidR="00B15B8A" w:rsidRPr="00A047D1" w14:paraId="04BCE93F"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F56891A" w14:textId="77777777" w:rsidR="00B15B8A" w:rsidRPr="00EF0142" w:rsidRDefault="00B15B8A" w:rsidP="00E47973">
            <w:pPr>
              <w:pStyle w:val="TAL"/>
              <w:rPr>
                <w:i/>
                <w:highlight w:val="yellow"/>
                <w:lang w:eastAsia="ja-JP"/>
              </w:rPr>
            </w:pPr>
            <w:r w:rsidRPr="00EF0142">
              <w:rPr>
                <w:i/>
                <w:highlight w:val="yellow"/>
                <w:lang w:eastAsia="ja-JP"/>
              </w:rPr>
              <w:t>FDD-TDD-</w:t>
            </w:r>
            <w:proofErr w:type="spellStart"/>
            <w:r w:rsidRPr="00EF0142">
              <w:rPr>
                <w:i/>
                <w:highlight w:val="yellow"/>
                <w:lang w:eastAsia="ja-JP"/>
              </w:rPr>
              <w:t>OrSUL</w:t>
            </w:r>
            <w:proofErr w:type="spellEnd"/>
            <w:r w:rsidRPr="00EF0142">
              <w:rPr>
                <w:i/>
                <w:highlight w:val="yellow"/>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35D6991E" w14:textId="77777777" w:rsidR="00B15B8A" w:rsidRPr="00EF0142" w:rsidRDefault="00B15B8A" w:rsidP="00E47973">
            <w:pPr>
              <w:pStyle w:val="TAL"/>
              <w:rPr>
                <w:highlight w:val="yellow"/>
                <w:lang w:eastAsia="ja-JP"/>
              </w:rPr>
            </w:pPr>
            <w:r w:rsidRPr="00EF0142">
              <w:rPr>
                <w:highlight w:val="yellow"/>
                <w:lang w:eastAsia="ja-JP"/>
              </w:rPr>
              <w:t xml:space="preserve">The field is optionally present, Need R, if this </w:t>
            </w:r>
            <w:proofErr w:type="spellStart"/>
            <w:r w:rsidRPr="00EF0142">
              <w:rPr>
                <w:i/>
                <w:highlight w:val="yellow"/>
              </w:rPr>
              <w:t>FrequencyInfoUL</w:t>
            </w:r>
            <w:proofErr w:type="spellEnd"/>
            <w:r w:rsidRPr="00EF0142">
              <w:rPr>
                <w:highlight w:val="yellow"/>
                <w:lang w:eastAsia="ja-JP"/>
              </w:rPr>
              <w:t xml:space="preserve"> is for the paired UL for a DL (defined in a </w:t>
            </w:r>
            <w:proofErr w:type="spellStart"/>
            <w:r w:rsidRPr="00EF0142">
              <w:rPr>
                <w:i/>
                <w:highlight w:val="yellow"/>
              </w:rPr>
              <w:t>FrequencyInfoDL</w:t>
            </w:r>
            <w:proofErr w:type="spellEnd"/>
            <w:r w:rsidRPr="00EF0142">
              <w:rPr>
                <w:highlight w:val="yellow"/>
                <w:lang w:eastAsia="ja-JP"/>
              </w:rPr>
              <w:t xml:space="preserve">), or if this </w:t>
            </w:r>
            <w:proofErr w:type="spellStart"/>
            <w:r w:rsidRPr="00EF0142">
              <w:rPr>
                <w:i/>
                <w:highlight w:val="yellow"/>
              </w:rPr>
              <w:t>FrequencyInfoUL</w:t>
            </w:r>
            <w:proofErr w:type="spellEnd"/>
            <w:r w:rsidRPr="00EF0142">
              <w:rPr>
                <w:highlight w:val="yellow"/>
                <w:lang w:eastAsia="ja-JP"/>
              </w:rPr>
              <w:t xml:space="preserve"> is for an unpaired UL (TDD) in certain bands (as defined in clause 5.4.2.1 of TS 38.101-1 and in clause 5.4.2.1 of TS 38.104 [12]), or if this </w:t>
            </w:r>
            <w:proofErr w:type="spellStart"/>
            <w:r w:rsidRPr="00EF0142">
              <w:rPr>
                <w:i/>
                <w:highlight w:val="yellow"/>
              </w:rPr>
              <w:t>FrequencyInfoUL</w:t>
            </w:r>
            <w:proofErr w:type="spellEnd"/>
            <w:r w:rsidRPr="00EF0142">
              <w:rPr>
                <w:highlight w:val="yellow"/>
                <w:lang w:eastAsia="ja-JP"/>
              </w:rPr>
              <w:t xml:space="preserve"> is for a supplementary uplink (SUL). It is absent otherwise.</w:t>
            </w:r>
          </w:p>
        </w:tc>
      </w:tr>
    </w:tbl>
    <w:p w14:paraId="5E4CC517" w14:textId="77777777" w:rsidR="00B15B8A" w:rsidRPr="00A047D1" w:rsidRDefault="00B15B8A" w:rsidP="00B15B8A"/>
    <w:p w14:paraId="0EB84B76" w14:textId="77777777" w:rsidR="00B15B8A" w:rsidRPr="007776F7" w:rsidRDefault="00B15B8A" w:rsidP="007776F7"/>
    <w:sectPr w:rsidR="00B15B8A" w:rsidRPr="007776F7"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19E5C" w14:textId="77777777" w:rsidR="008D7622" w:rsidRDefault="008D7622">
      <w:r>
        <w:separator/>
      </w:r>
    </w:p>
  </w:endnote>
  <w:endnote w:type="continuationSeparator" w:id="0">
    <w:p w14:paraId="2A7C4539" w14:textId="77777777" w:rsidR="008D7622" w:rsidRDefault="008D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E38BA" w:rsidRDefault="007E38BA">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E38BA" w:rsidRDefault="007E38BA"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B9AC8" w14:textId="77777777" w:rsidR="008D7622" w:rsidRDefault="008D7622">
      <w:r>
        <w:separator/>
      </w:r>
    </w:p>
  </w:footnote>
  <w:footnote w:type="continuationSeparator" w:id="0">
    <w:p w14:paraId="522780E0" w14:textId="77777777" w:rsidR="008D7622" w:rsidRDefault="008D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E38BA" w:rsidRDefault="007E3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E38BA" w:rsidRDefault="007E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8"/>
    <w:rsid w:val="000119B4"/>
    <w:rsid w:val="00033397"/>
    <w:rsid w:val="00036EC5"/>
    <w:rsid w:val="00040095"/>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104BC6"/>
    <w:rsid w:val="00114E2C"/>
    <w:rsid w:val="0011713D"/>
    <w:rsid w:val="00127540"/>
    <w:rsid w:val="00133525"/>
    <w:rsid w:val="00140C25"/>
    <w:rsid w:val="00165C02"/>
    <w:rsid w:val="0016641C"/>
    <w:rsid w:val="00170372"/>
    <w:rsid w:val="00182A7F"/>
    <w:rsid w:val="00185CAA"/>
    <w:rsid w:val="00186F72"/>
    <w:rsid w:val="00193345"/>
    <w:rsid w:val="001A4C42"/>
    <w:rsid w:val="001A7749"/>
    <w:rsid w:val="001B2982"/>
    <w:rsid w:val="001B33E6"/>
    <w:rsid w:val="001C033C"/>
    <w:rsid w:val="001C21C3"/>
    <w:rsid w:val="001C4414"/>
    <w:rsid w:val="001C78F5"/>
    <w:rsid w:val="001D02C2"/>
    <w:rsid w:val="001E32BA"/>
    <w:rsid w:val="001F0C1D"/>
    <w:rsid w:val="001F1132"/>
    <w:rsid w:val="001F168B"/>
    <w:rsid w:val="001F1BEB"/>
    <w:rsid w:val="001F7D21"/>
    <w:rsid w:val="00202C53"/>
    <w:rsid w:val="00210370"/>
    <w:rsid w:val="00210F00"/>
    <w:rsid w:val="00212C2B"/>
    <w:rsid w:val="002239F3"/>
    <w:rsid w:val="002347A2"/>
    <w:rsid w:val="00235A9E"/>
    <w:rsid w:val="00235FD7"/>
    <w:rsid w:val="002403D2"/>
    <w:rsid w:val="00244CBD"/>
    <w:rsid w:val="00246404"/>
    <w:rsid w:val="00247926"/>
    <w:rsid w:val="002675F0"/>
    <w:rsid w:val="00276EE4"/>
    <w:rsid w:val="002805F6"/>
    <w:rsid w:val="0028520E"/>
    <w:rsid w:val="002868FE"/>
    <w:rsid w:val="002B3805"/>
    <w:rsid w:val="002B6339"/>
    <w:rsid w:val="002C3EB0"/>
    <w:rsid w:val="002E00EE"/>
    <w:rsid w:val="002E35C4"/>
    <w:rsid w:val="002E3CBE"/>
    <w:rsid w:val="002E4814"/>
    <w:rsid w:val="002F00E4"/>
    <w:rsid w:val="002F1DC8"/>
    <w:rsid w:val="002F2C78"/>
    <w:rsid w:val="002F310A"/>
    <w:rsid w:val="002F77D7"/>
    <w:rsid w:val="00303F93"/>
    <w:rsid w:val="003172DC"/>
    <w:rsid w:val="0032126C"/>
    <w:rsid w:val="00323657"/>
    <w:rsid w:val="00325D28"/>
    <w:rsid w:val="0034052F"/>
    <w:rsid w:val="0035462D"/>
    <w:rsid w:val="00354DF5"/>
    <w:rsid w:val="00357150"/>
    <w:rsid w:val="00357968"/>
    <w:rsid w:val="00357C56"/>
    <w:rsid w:val="003765B8"/>
    <w:rsid w:val="00393D5B"/>
    <w:rsid w:val="003A01BF"/>
    <w:rsid w:val="003A0483"/>
    <w:rsid w:val="003C1F3F"/>
    <w:rsid w:val="003C3971"/>
    <w:rsid w:val="003E03A1"/>
    <w:rsid w:val="003E7753"/>
    <w:rsid w:val="00400F69"/>
    <w:rsid w:val="00423334"/>
    <w:rsid w:val="0043034B"/>
    <w:rsid w:val="004345EC"/>
    <w:rsid w:val="00450E85"/>
    <w:rsid w:val="00463DF8"/>
    <w:rsid w:val="004732BB"/>
    <w:rsid w:val="004826A9"/>
    <w:rsid w:val="00485DEE"/>
    <w:rsid w:val="004A51EA"/>
    <w:rsid w:val="004C1601"/>
    <w:rsid w:val="004D0CDF"/>
    <w:rsid w:val="004D3578"/>
    <w:rsid w:val="004D3B69"/>
    <w:rsid w:val="004E213A"/>
    <w:rsid w:val="004E643E"/>
    <w:rsid w:val="004F0988"/>
    <w:rsid w:val="004F3340"/>
    <w:rsid w:val="004F3E3D"/>
    <w:rsid w:val="004F548D"/>
    <w:rsid w:val="00522FA0"/>
    <w:rsid w:val="0053388B"/>
    <w:rsid w:val="00535773"/>
    <w:rsid w:val="00543E6C"/>
    <w:rsid w:val="00547A7B"/>
    <w:rsid w:val="00565087"/>
    <w:rsid w:val="00572E14"/>
    <w:rsid w:val="005973BE"/>
    <w:rsid w:val="005A5986"/>
    <w:rsid w:val="005D2E01"/>
    <w:rsid w:val="005D3B1F"/>
    <w:rsid w:val="005D7526"/>
    <w:rsid w:val="005E45EF"/>
    <w:rsid w:val="005E6638"/>
    <w:rsid w:val="005E69AE"/>
    <w:rsid w:val="005F067D"/>
    <w:rsid w:val="005F234D"/>
    <w:rsid w:val="005F74B2"/>
    <w:rsid w:val="00602AEA"/>
    <w:rsid w:val="00607958"/>
    <w:rsid w:val="00607E3C"/>
    <w:rsid w:val="00614FDF"/>
    <w:rsid w:val="006234C3"/>
    <w:rsid w:val="006246A7"/>
    <w:rsid w:val="0062595A"/>
    <w:rsid w:val="0063543D"/>
    <w:rsid w:val="006369DE"/>
    <w:rsid w:val="00644DED"/>
    <w:rsid w:val="00647114"/>
    <w:rsid w:val="00656AC1"/>
    <w:rsid w:val="006574F3"/>
    <w:rsid w:val="0067148D"/>
    <w:rsid w:val="00695278"/>
    <w:rsid w:val="006A323F"/>
    <w:rsid w:val="006B1BEF"/>
    <w:rsid w:val="006B30D0"/>
    <w:rsid w:val="006B4ADC"/>
    <w:rsid w:val="006C2CC9"/>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1CF"/>
    <w:rsid w:val="007776F7"/>
    <w:rsid w:val="00781F0F"/>
    <w:rsid w:val="007933DD"/>
    <w:rsid w:val="00796C9E"/>
    <w:rsid w:val="007B600E"/>
    <w:rsid w:val="007B7436"/>
    <w:rsid w:val="007B7482"/>
    <w:rsid w:val="007D0AB1"/>
    <w:rsid w:val="007D1E7F"/>
    <w:rsid w:val="007E38BA"/>
    <w:rsid w:val="007F0F4A"/>
    <w:rsid w:val="007F52C6"/>
    <w:rsid w:val="008028A4"/>
    <w:rsid w:val="00805F49"/>
    <w:rsid w:val="00820B25"/>
    <w:rsid w:val="00826D79"/>
    <w:rsid w:val="00830747"/>
    <w:rsid w:val="008579A2"/>
    <w:rsid w:val="008768CA"/>
    <w:rsid w:val="00887FBB"/>
    <w:rsid w:val="008B47F3"/>
    <w:rsid w:val="008C384C"/>
    <w:rsid w:val="008C6809"/>
    <w:rsid w:val="008D7622"/>
    <w:rsid w:val="008E779F"/>
    <w:rsid w:val="008E7986"/>
    <w:rsid w:val="008F286A"/>
    <w:rsid w:val="008F719E"/>
    <w:rsid w:val="0090271F"/>
    <w:rsid w:val="00902E23"/>
    <w:rsid w:val="0091134B"/>
    <w:rsid w:val="009114D7"/>
    <w:rsid w:val="0091348E"/>
    <w:rsid w:val="009164CA"/>
    <w:rsid w:val="00917CCB"/>
    <w:rsid w:val="00922017"/>
    <w:rsid w:val="0093424F"/>
    <w:rsid w:val="00942EC2"/>
    <w:rsid w:val="0096195B"/>
    <w:rsid w:val="009A0622"/>
    <w:rsid w:val="009A1A40"/>
    <w:rsid w:val="009E2C2E"/>
    <w:rsid w:val="009E35FC"/>
    <w:rsid w:val="009F25D8"/>
    <w:rsid w:val="009F37B7"/>
    <w:rsid w:val="009F5E43"/>
    <w:rsid w:val="00A0244E"/>
    <w:rsid w:val="00A03C1D"/>
    <w:rsid w:val="00A06BE8"/>
    <w:rsid w:val="00A10F02"/>
    <w:rsid w:val="00A13E33"/>
    <w:rsid w:val="00A164B4"/>
    <w:rsid w:val="00A20A1F"/>
    <w:rsid w:val="00A26956"/>
    <w:rsid w:val="00A30801"/>
    <w:rsid w:val="00A402B9"/>
    <w:rsid w:val="00A53724"/>
    <w:rsid w:val="00A54165"/>
    <w:rsid w:val="00A73129"/>
    <w:rsid w:val="00A7637D"/>
    <w:rsid w:val="00A80884"/>
    <w:rsid w:val="00A80A9A"/>
    <w:rsid w:val="00A82346"/>
    <w:rsid w:val="00A86ACF"/>
    <w:rsid w:val="00A86D7B"/>
    <w:rsid w:val="00A92BA1"/>
    <w:rsid w:val="00AB0F0B"/>
    <w:rsid w:val="00AC6BC6"/>
    <w:rsid w:val="00AE3797"/>
    <w:rsid w:val="00AE5E4B"/>
    <w:rsid w:val="00B11395"/>
    <w:rsid w:val="00B13467"/>
    <w:rsid w:val="00B15449"/>
    <w:rsid w:val="00B15B8A"/>
    <w:rsid w:val="00B22B0B"/>
    <w:rsid w:val="00B324CC"/>
    <w:rsid w:val="00B338B3"/>
    <w:rsid w:val="00B37015"/>
    <w:rsid w:val="00B370B3"/>
    <w:rsid w:val="00B576DB"/>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330D"/>
    <w:rsid w:val="00C2398B"/>
    <w:rsid w:val="00C259D9"/>
    <w:rsid w:val="00C33079"/>
    <w:rsid w:val="00C4013E"/>
    <w:rsid w:val="00C40310"/>
    <w:rsid w:val="00C45231"/>
    <w:rsid w:val="00C72833"/>
    <w:rsid w:val="00C80F1D"/>
    <w:rsid w:val="00C8519A"/>
    <w:rsid w:val="00C870F8"/>
    <w:rsid w:val="00C93F40"/>
    <w:rsid w:val="00CA3D0C"/>
    <w:rsid w:val="00CA4FFD"/>
    <w:rsid w:val="00CB1D2A"/>
    <w:rsid w:val="00CB431F"/>
    <w:rsid w:val="00CC0756"/>
    <w:rsid w:val="00CE508C"/>
    <w:rsid w:val="00CF05A2"/>
    <w:rsid w:val="00CF20E3"/>
    <w:rsid w:val="00D07643"/>
    <w:rsid w:val="00D14BA5"/>
    <w:rsid w:val="00D309CC"/>
    <w:rsid w:val="00D333C0"/>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126E2"/>
    <w:rsid w:val="00E16509"/>
    <w:rsid w:val="00E44582"/>
    <w:rsid w:val="00E47973"/>
    <w:rsid w:val="00E52814"/>
    <w:rsid w:val="00E5681E"/>
    <w:rsid w:val="00E6366C"/>
    <w:rsid w:val="00E72324"/>
    <w:rsid w:val="00E72ABE"/>
    <w:rsid w:val="00E77645"/>
    <w:rsid w:val="00E9062D"/>
    <w:rsid w:val="00EA0DEA"/>
    <w:rsid w:val="00EA2167"/>
    <w:rsid w:val="00EA43A3"/>
    <w:rsid w:val="00EB0DA8"/>
    <w:rsid w:val="00EC4A25"/>
    <w:rsid w:val="00EE1EEF"/>
    <w:rsid w:val="00EE3DB6"/>
    <w:rsid w:val="00EE5AA7"/>
    <w:rsid w:val="00EF0142"/>
    <w:rsid w:val="00EF66C4"/>
    <w:rsid w:val="00F025A2"/>
    <w:rsid w:val="00F03905"/>
    <w:rsid w:val="00F03AE3"/>
    <w:rsid w:val="00F04712"/>
    <w:rsid w:val="00F07458"/>
    <w:rsid w:val="00F11E45"/>
    <w:rsid w:val="00F15706"/>
    <w:rsid w:val="00F21311"/>
    <w:rsid w:val="00F22EC7"/>
    <w:rsid w:val="00F325C8"/>
    <w:rsid w:val="00F37DEE"/>
    <w:rsid w:val="00F551AF"/>
    <w:rsid w:val="00F60520"/>
    <w:rsid w:val="00F62AEB"/>
    <w:rsid w:val="00F6402D"/>
    <w:rsid w:val="00F653B8"/>
    <w:rsid w:val="00F656B6"/>
    <w:rsid w:val="00F70647"/>
    <w:rsid w:val="00F74507"/>
    <w:rsid w:val="00FA1266"/>
    <w:rsid w:val="00FB38DE"/>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20554-41F1-6745-84BC-9C5B0DBAF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7</Pages>
  <Words>2676</Words>
  <Characters>15257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13</cp:revision>
  <cp:lastPrinted>2019-02-25T13:05:00Z</cp:lastPrinted>
  <dcterms:created xsi:type="dcterms:W3CDTF">2020-04-10T13:17:00Z</dcterms:created>
  <dcterms:modified xsi:type="dcterms:W3CDTF">2020-04-10T20:20:00Z</dcterms:modified>
  <cp:category/>
</cp:coreProperties>
</file>